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2CD97" w14:textId="77777777" w:rsidR="001D63AC" w:rsidRPr="00E955F7" w:rsidRDefault="001D63AC" w:rsidP="00E955F7">
      <w:pPr>
        <w:spacing w:line="20" w:lineRule="exact"/>
        <w:ind w:left="720"/>
      </w:pPr>
    </w:p>
    <w:tbl>
      <w:tblPr>
        <w:tblW w:w="0" w:type="auto"/>
        <w:tblInd w:w="740" w:type="dxa"/>
        <w:tblBorders>
          <w:top w:val="single" w:sz="8" w:space="0" w:color="000000"/>
        </w:tblBorders>
        <w:tblLayout w:type="fixed"/>
        <w:tblLook w:val="04A0" w:firstRow="1" w:lastRow="0" w:firstColumn="1" w:lastColumn="0" w:noHBand="0" w:noVBand="1"/>
      </w:tblPr>
      <w:tblGrid>
        <w:gridCol w:w="20"/>
      </w:tblGrid>
      <w:tr w:rsidR="001D63AC" w:rsidRPr="004711A5" w14:paraId="16134E05" w14:textId="77777777" w:rsidTr="00E955F7">
        <w:trPr>
          <w:trHeight w:hRule="exact" w:val="20"/>
        </w:trPr>
        <w:tc>
          <w:tcPr>
            <w:tcW w:w="20" w:type="dxa"/>
            <w:tcBorders>
              <w:top w:val="single" w:sz="8" w:space="0" w:color="000000"/>
            </w:tcBorders>
            <w:tcMar>
              <w:top w:w="0" w:type="dxa"/>
              <w:left w:w="0" w:type="dxa"/>
              <w:bottom w:w="0" w:type="dxa"/>
              <w:right w:w="0" w:type="dxa"/>
            </w:tcMar>
          </w:tcPr>
          <w:p w14:paraId="4105C996" w14:textId="77777777" w:rsidR="001D63AC" w:rsidRPr="00E955F7" w:rsidRDefault="001D63AC">
            <w:pPr>
              <w:spacing w:line="20" w:lineRule="exact"/>
            </w:pPr>
          </w:p>
        </w:tc>
      </w:tr>
    </w:tbl>
    <w:p w14:paraId="7DA4D713" w14:textId="77777777" w:rsidR="001D63AC" w:rsidRPr="00E955F7" w:rsidRDefault="00620420" w:rsidP="00E955F7">
      <w:pPr>
        <w:ind w:left="760" w:right="9600"/>
      </w:pPr>
      <w:r w:rsidRPr="00E955F7">
        <w:rPr>
          <w:noProof/>
        </w:rPr>
        <mc:AlternateContent>
          <mc:Choice Requires="wps">
            <w:drawing>
              <wp:inline distT="0" distB="0" distL="0" distR="0" wp14:anchorId="6F8336EB" wp14:editId="17DECDC9">
                <wp:extent cx="9525" cy="9525"/>
                <wp:effectExtent l="0" t="0" r="0" b="0"/>
                <wp:docPr id="2"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dtfl="http://schemas.microsoft.com/office/word/2024/wordml/sdtformatlock" xmlns:w16du="http://schemas.microsoft.com/office/word/2023/wordml/word16du">
            <w:pict>
              <v:rect w14:anchorId="226A2B32" id="AutoShape 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" filled="f" stroked="f">
                <o:lock v:ext="edit" aspectratio="t"/>
                <w10:anchorlock/>
              </v:rect>
            </w:pict>
          </mc:Fallback>
        </mc:AlternateContent>
      </w:r>
    </w:p>
    <w:p w14:paraId="37DBFC1F" w14:textId="77777777" w:rsidR="001D63AC" w:rsidRPr="00E955F7" w:rsidRDefault="001D63AC" w:rsidP="00E955F7">
      <w:pPr>
        <w:spacing w:line="240" w:lineRule="exact"/>
        <w:ind w:left="720"/>
      </w:pPr>
    </w:p>
    <w:p w14:paraId="0D6413CC" w14:textId="40115FDD" w:rsidR="001D63AC" w:rsidRPr="00E955F7" w:rsidRDefault="00B11033" w:rsidP="00E955F7">
      <w:pPr>
        <w:spacing w:line="240" w:lineRule="exact"/>
        <w:ind w:left="720"/>
        <w:jc w:val="center"/>
        <w:rPr>
          <w:b/>
          <w:i/>
          <w:color w:val="FF0000"/>
          <w:lang w:val="en-US"/>
        </w:rPr>
      </w:pPr>
      <w:r w:rsidRPr="00E955F7">
        <w:rPr>
          <w:b/>
          <w:i/>
          <w:color w:val="FF0000"/>
          <w:lang w:val="en-US"/>
        </w:rPr>
        <w:t>This document is strictly confidential</w:t>
      </w:r>
    </w:p>
    <w:p w14:paraId="5358271D" w14:textId="24C63554" w:rsidR="001D63AC" w:rsidRPr="00E955F7" w:rsidRDefault="001D63AC" w:rsidP="00E955F7">
      <w:pPr>
        <w:spacing w:after="220" w:line="240" w:lineRule="exact"/>
        <w:ind w:left="720"/>
        <w:rPr>
          <w:lang w:val="en-US"/>
        </w:rPr>
      </w:pPr>
    </w:p>
    <w:p w14:paraId="77E1719A" w14:textId="75FE6DE4" w:rsidR="001D63AC" w:rsidRPr="00E955F7" w:rsidRDefault="00AC4494" w:rsidP="00E955F7">
      <w:pPr>
        <w:pBdr>
          <w:top w:val="single" w:sz="4" w:space="1" w:color="auto"/>
          <w:left w:val="single" w:sz="4" w:space="4" w:color="auto"/>
          <w:bottom w:val="single" w:sz="4" w:space="0" w:color="auto"/>
          <w:right w:val="single" w:sz="4" w:space="4" w:color="auto"/>
        </w:pBdr>
        <w:spacing w:before="120" w:after="40"/>
        <w:ind w:left="760" w:right="20"/>
        <w:jc w:val="center"/>
        <w:rPr>
          <w:rFonts w:eastAsia="Trebuchet MS"/>
          <w:b/>
          <w:color w:val="FF0000"/>
          <w:lang w:val="en-US"/>
        </w:rPr>
      </w:pPr>
      <w:r w:rsidRPr="00E955F7">
        <w:rPr>
          <w:b/>
          <w:lang w:val="en-US"/>
        </w:rPr>
        <w:t>TERMS OF REFERENCE</w:t>
      </w:r>
    </w:p>
    <w:p w14:paraId="1ED01AA2" w14:textId="77777777" w:rsidR="001D63AC" w:rsidRPr="00E955F7" w:rsidRDefault="001D63AC" w:rsidP="00E955F7">
      <w:pPr>
        <w:spacing w:line="240" w:lineRule="exact"/>
        <w:ind w:left="720"/>
        <w:rPr>
          <w:lang w:val="en-US"/>
        </w:rPr>
      </w:pPr>
    </w:p>
    <w:p w14:paraId="309A6BBB" w14:textId="77777777" w:rsidR="001D63AC" w:rsidRPr="00E955F7" w:rsidRDefault="001D63AC" w:rsidP="00E955F7">
      <w:pPr>
        <w:spacing w:after="20" w:line="240" w:lineRule="exact"/>
        <w:ind w:left="720"/>
        <w:rPr>
          <w:lang w:val="en-US"/>
        </w:rPr>
      </w:pPr>
    </w:p>
    <w:p w14:paraId="2F23A539" w14:textId="77777777" w:rsidR="0073004C" w:rsidRPr="00E955F7" w:rsidRDefault="0073004C" w:rsidP="00E955F7">
      <w:pPr>
        <w:spacing w:after="20" w:line="240" w:lineRule="exact"/>
        <w:ind w:left="720"/>
        <w:rPr>
          <w:lang w:val="en-US"/>
        </w:rPr>
      </w:pPr>
    </w:p>
    <w:p w14:paraId="05864FB5" w14:textId="77777777" w:rsidR="0073004C" w:rsidRPr="00E955F7" w:rsidRDefault="0073004C" w:rsidP="00E955F7">
      <w:pPr>
        <w:spacing w:after="20" w:line="240" w:lineRule="exact"/>
        <w:ind w:left="720"/>
        <w:rPr>
          <w:lang w:val="en-US"/>
        </w:rPr>
      </w:pPr>
    </w:p>
    <w:p w14:paraId="0CAC779F" w14:textId="77777777" w:rsidR="0073004C" w:rsidRPr="00E955F7" w:rsidRDefault="0073004C" w:rsidP="00E955F7">
      <w:pPr>
        <w:spacing w:after="20" w:line="240" w:lineRule="exact"/>
        <w:ind w:left="720"/>
        <w:rPr>
          <w:lang w:val="en-US"/>
        </w:rPr>
      </w:pPr>
    </w:p>
    <w:p w14:paraId="4F75D053" w14:textId="77777777" w:rsidR="001D63AC" w:rsidRPr="00E955F7" w:rsidRDefault="001D63AC" w:rsidP="00E955F7">
      <w:pPr>
        <w:spacing w:line="20" w:lineRule="exact"/>
        <w:ind w:left="720"/>
        <w:rPr>
          <w:lang w:val="en-US"/>
        </w:rPr>
      </w:pPr>
    </w:p>
    <w:p w14:paraId="75C5D784" w14:textId="77777777" w:rsidR="002B7927" w:rsidRPr="00E955F7" w:rsidRDefault="002B7927" w:rsidP="00E955F7">
      <w:pPr>
        <w:shd w:val="clear" w:color="auto" w:fill="95B3D7" w:themeFill="accent1" w:themeFillTint="99"/>
        <w:ind w:left="780"/>
        <w:jc w:val="center"/>
        <w:rPr>
          <w:b/>
          <w:lang w:val="en-US"/>
        </w:rPr>
      </w:pPr>
    </w:p>
    <w:p w14:paraId="41E9DB37" w14:textId="77777777" w:rsidR="002B7927" w:rsidRPr="00E955F7" w:rsidRDefault="002B7927" w:rsidP="00E955F7">
      <w:pPr>
        <w:shd w:val="clear" w:color="auto" w:fill="95B3D7" w:themeFill="accent1" w:themeFillTint="99"/>
        <w:ind w:left="780"/>
        <w:jc w:val="center"/>
        <w:rPr>
          <w:b/>
        </w:rPr>
      </w:pPr>
      <w:r w:rsidRPr="00E955F7">
        <w:rPr>
          <w:b/>
        </w:rPr>
        <w:t>Agence Française de Développement,</w:t>
      </w:r>
    </w:p>
    <w:p w14:paraId="438B94FD" w14:textId="77777777" w:rsidR="002B7927" w:rsidRPr="00E955F7" w:rsidRDefault="002B7927" w:rsidP="00E955F7">
      <w:pPr>
        <w:shd w:val="clear" w:color="auto" w:fill="95B3D7" w:themeFill="accent1" w:themeFillTint="99"/>
        <w:ind w:left="780"/>
        <w:jc w:val="center"/>
      </w:pPr>
      <w:r w:rsidRPr="00E955F7">
        <w:t xml:space="preserve"> 5, rue Roland Barthes, </w:t>
      </w:r>
    </w:p>
    <w:p w14:paraId="5CDF76BD" w14:textId="77777777" w:rsidR="002B7927" w:rsidRPr="00E955F7" w:rsidRDefault="002B7927" w:rsidP="00E955F7">
      <w:pPr>
        <w:shd w:val="clear" w:color="auto" w:fill="95B3D7" w:themeFill="accent1" w:themeFillTint="99"/>
        <w:ind w:left="780"/>
        <w:jc w:val="center"/>
      </w:pPr>
      <w:r w:rsidRPr="00E955F7">
        <w:t xml:space="preserve">75598 Paris Cedex 12- RCS PARIS B 775 665 599- </w:t>
      </w:r>
    </w:p>
    <w:p w14:paraId="03DB1FC8" w14:textId="6F8BAD06" w:rsidR="001D63AC" w:rsidRPr="00E955F7" w:rsidRDefault="009C4198" w:rsidP="00E955F7">
      <w:pPr>
        <w:shd w:val="clear" w:color="auto" w:fill="95B3D7" w:themeFill="accent1" w:themeFillTint="99"/>
        <w:ind w:left="780"/>
        <w:jc w:val="center"/>
        <w:rPr>
          <w:lang w:val="en-US"/>
        </w:rPr>
      </w:pPr>
      <w:proofErr w:type="spellStart"/>
      <w:proofErr w:type="gramStart"/>
      <w:r w:rsidRPr="00E955F7">
        <w:rPr>
          <w:lang w:val="en-US"/>
        </w:rPr>
        <w:t>Téléphone</w:t>
      </w:r>
      <w:proofErr w:type="spellEnd"/>
      <w:r w:rsidR="00ED1745" w:rsidRPr="00E955F7">
        <w:rPr>
          <w:lang w:val="en-US"/>
        </w:rPr>
        <w:t xml:space="preserve"> </w:t>
      </w:r>
      <w:r w:rsidR="002B7927" w:rsidRPr="00E955F7">
        <w:rPr>
          <w:lang w:val="en-US"/>
        </w:rPr>
        <w:t>:</w:t>
      </w:r>
      <w:proofErr w:type="gramEnd"/>
      <w:r w:rsidR="002B7927" w:rsidRPr="00E955F7">
        <w:rPr>
          <w:lang w:val="en-US"/>
        </w:rPr>
        <w:t xml:space="preserve"> 00 33 (0)1 53 44 31 31</w:t>
      </w:r>
    </w:p>
    <w:p w14:paraId="085EFD72" w14:textId="77777777" w:rsidR="002B7927" w:rsidRPr="00E955F7" w:rsidRDefault="002B7927" w:rsidP="00E955F7">
      <w:pPr>
        <w:shd w:val="clear" w:color="auto" w:fill="95B3D7" w:themeFill="accent1" w:themeFillTint="99"/>
        <w:ind w:left="780"/>
        <w:jc w:val="center"/>
        <w:rPr>
          <w:rFonts w:eastAsia="Trebuchet MS"/>
          <w:color w:val="000000"/>
          <w:lang w:val="en-US"/>
        </w:rPr>
      </w:pPr>
    </w:p>
    <w:p w14:paraId="3F2DC453" w14:textId="77777777" w:rsidR="001D63AC" w:rsidRPr="00E955F7" w:rsidRDefault="001D63AC" w:rsidP="00E955F7">
      <w:pPr>
        <w:ind w:left="780"/>
        <w:jc w:val="center"/>
        <w:rPr>
          <w:rFonts w:eastAsia="Trebuchet MS"/>
          <w:color w:val="000000"/>
          <w:lang w:val="en-US"/>
        </w:rPr>
      </w:pPr>
    </w:p>
    <w:p w14:paraId="59D169AF" w14:textId="77777777" w:rsidR="0073004C" w:rsidRPr="00E955F7" w:rsidRDefault="0073004C" w:rsidP="00E955F7">
      <w:pPr>
        <w:ind w:left="780"/>
        <w:jc w:val="center"/>
        <w:rPr>
          <w:rFonts w:eastAsia="Trebuchet MS"/>
          <w:color w:val="000000"/>
          <w:lang w:val="en-US"/>
        </w:rPr>
      </w:pPr>
    </w:p>
    <w:p w14:paraId="51D04DFE" w14:textId="77777777" w:rsidR="0073004C" w:rsidRPr="00E955F7" w:rsidRDefault="0073004C" w:rsidP="00E955F7">
      <w:pPr>
        <w:ind w:left="780"/>
        <w:jc w:val="center"/>
        <w:rPr>
          <w:rFonts w:eastAsia="Trebuchet MS"/>
          <w:color w:val="000000"/>
          <w:lang w:val="en-US"/>
        </w:rPr>
      </w:pPr>
    </w:p>
    <w:p w14:paraId="3F4CE6EF" w14:textId="77777777" w:rsidR="0073004C" w:rsidRPr="00E955F7" w:rsidRDefault="0073004C" w:rsidP="00E955F7">
      <w:pPr>
        <w:ind w:left="780"/>
        <w:jc w:val="center"/>
        <w:rPr>
          <w:rFonts w:eastAsia="Trebuchet MS"/>
          <w:color w:val="000000"/>
          <w:lang w:val="en-US"/>
        </w:rPr>
      </w:pPr>
    </w:p>
    <w:p w14:paraId="48896011" w14:textId="34C6CD35" w:rsidR="0073004C" w:rsidRPr="00E955F7" w:rsidRDefault="00AC4494" w:rsidP="00E955F7">
      <w:pPr>
        <w:pStyle w:val="Sansinterligne"/>
        <w:ind w:left="720"/>
        <w:jc w:val="center"/>
        <w:rPr>
          <w:rFonts w:ascii="Times New Roman" w:hAnsi="Times New Roman"/>
          <w:b/>
          <w:sz w:val="24"/>
          <w:szCs w:val="24"/>
          <w:lang w:val="en-US"/>
        </w:rPr>
      </w:pPr>
      <w:r w:rsidRPr="00E955F7">
        <w:rPr>
          <w:rFonts w:ascii="Times New Roman" w:hAnsi="Times New Roman"/>
          <w:b/>
          <w:sz w:val="24"/>
          <w:szCs w:val="24"/>
          <w:lang w:val="en-US"/>
        </w:rPr>
        <w:t xml:space="preserve">Regarding the service for the development of a Strategic Economic and Financial Model for the </w:t>
      </w:r>
      <w:proofErr w:type="spellStart"/>
      <w:r w:rsidRPr="00E955F7">
        <w:rPr>
          <w:rFonts w:ascii="Times New Roman" w:hAnsi="Times New Roman"/>
          <w:b/>
          <w:sz w:val="24"/>
          <w:szCs w:val="24"/>
          <w:lang w:val="en-US"/>
        </w:rPr>
        <w:t>Agaciro</w:t>
      </w:r>
      <w:proofErr w:type="spellEnd"/>
      <w:r w:rsidRPr="00E955F7">
        <w:rPr>
          <w:rFonts w:ascii="Times New Roman" w:hAnsi="Times New Roman"/>
          <w:b/>
          <w:sz w:val="24"/>
          <w:szCs w:val="24"/>
          <w:lang w:val="en-US"/>
        </w:rPr>
        <w:t xml:space="preserve"> Sovereign Wealth Fund</w:t>
      </w:r>
    </w:p>
    <w:p w14:paraId="59374D82" w14:textId="77777777" w:rsidR="0073004C" w:rsidRPr="00E955F7" w:rsidRDefault="0073004C" w:rsidP="00E955F7">
      <w:pPr>
        <w:pStyle w:val="Sansinterligne"/>
        <w:ind w:left="720"/>
        <w:jc w:val="center"/>
        <w:rPr>
          <w:rFonts w:ascii="Times New Roman" w:hAnsi="Times New Roman"/>
          <w:sz w:val="24"/>
          <w:szCs w:val="24"/>
          <w:lang w:val="en-US"/>
        </w:rPr>
      </w:pPr>
    </w:p>
    <w:p w14:paraId="39A54C31" w14:textId="77777777" w:rsidR="0073004C" w:rsidRPr="00E955F7" w:rsidRDefault="0073004C" w:rsidP="00E955F7">
      <w:pPr>
        <w:pStyle w:val="Sansinterligne"/>
        <w:ind w:left="720"/>
        <w:jc w:val="center"/>
        <w:rPr>
          <w:rFonts w:ascii="Times New Roman" w:hAnsi="Times New Roman"/>
          <w:sz w:val="24"/>
          <w:szCs w:val="24"/>
          <w:lang w:val="en-US"/>
        </w:rPr>
      </w:pPr>
    </w:p>
    <w:p w14:paraId="72100DF4" w14:textId="77777777" w:rsidR="001D63AC" w:rsidRPr="00E955F7" w:rsidRDefault="001D63AC" w:rsidP="00E955F7">
      <w:pPr>
        <w:ind w:left="780"/>
        <w:jc w:val="center"/>
        <w:rPr>
          <w:rFonts w:eastAsia="Trebuchet MS"/>
          <w:color w:val="000000"/>
          <w:lang w:val="en-US"/>
        </w:rPr>
      </w:pPr>
    </w:p>
    <w:p w14:paraId="6CF434DC" w14:textId="77777777" w:rsidR="001D63AC" w:rsidRPr="00E955F7" w:rsidRDefault="001D63AC" w:rsidP="00E955F7">
      <w:pPr>
        <w:spacing w:after="20"/>
        <w:ind w:left="780"/>
        <w:jc w:val="center"/>
        <w:rPr>
          <w:rFonts w:eastAsia="Trebuchet MS"/>
          <w:color w:val="000000"/>
          <w:lang w:val="en-US"/>
        </w:rPr>
      </w:pPr>
    </w:p>
    <w:p w14:paraId="6F9CD96D" w14:textId="77777777" w:rsidR="0073004C" w:rsidRPr="00E955F7" w:rsidRDefault="0073004C" w:rsidP="00E955F7">
      <w:pPr>
        <w:spacing w:after="20"/>
        <w:ind w:left="780"/>
        <w:jc w:val="center"/>
        <w:rPr>
          <w:rFonts w:eastAsia="Trebuchet MS"/>
          <w:color w:val="000000"/>
          <w:lang w:val="en-US"/>
        </w:rPr>
      </w:pPr>
    </w:p>
    <w:p w14:paraId="6F4E0E06" w14:textId="77777777" w:rsidR="0073004C" w:rsidRPr="00E955F7" w:rsidRDefault="0073004C" w:rsidP="00E955F7">
      <w:pPr>
        <w:spacing w:after="20"/>
        <w:ind w:left="780"/>
        <w:jc w:val="center"/>
        <w:rPr>
          <w:rFonts w:eastAsia="Trebuchet MS"/>
          <w:color w:val="000000"/>
          <w:lang w:val="en-US"/>
        </w:rPr>
      </w:pPr>
    </w:p>
    <w:p w14:paraId="207CFDE2" w14:textId="77777777" w:rsidR="0073004C" w:rsidRPr="00E955F7" w:rsidRDefault="0073004C" w:rsidP="00E955F7">
      <w:pPr>
        <w:spacing w:after="20"/>
        <w:ind w:left="780"/>
        <w:jc w:val="center"/>
        <w:rPr>
          <w:rFonts w:eastAsia="Trebuchet MS"/>
          <w:color w:val="000000"/>
          <w:lang w:val="en-US"/>
        </w:rPr>
      </w:pPr>
    </w:p>
    <w:p w14:paraId="76248AC2" w14:textId="77777777" w:rsidR="0073004C" w:rsidRPr="00E955F7" w:rsidRDefault="0073004C" w:rsidP="00E955F7">
      <w:pPr>
        <w:spacing w:after="20"/>
        <w:ind w:left="780"/>
        <w:jc w:val="center"/>
        <w:rPr>
          <w:rFonts w:eastAsia="Trebuchet MS"/>
          <w:color w:val="000000"/>
          <w:lang w:val="en-US"/>
        </w:rPr>
      </w:pPr>
    </w:p>
    <w:p w14:paraId="72EC3580" w14:textId="77777777" w:rsidR="0073004C" w:rsidRPr="00E955F7" w:rsidRDefault="0073004C" w:rsidP="00E955F7">
      <w:pPr>
        <w:ind w:left="720"/>
        <w:rPr>
          <w:b/>
          <w:snapToGrid w:val="0"/>
          <w:lang w:val="en-US"/>
        </w:rPr>
      </w:pPr>
      <w:r w:rsidRPr="00E955F7">
        <w:rPr>
          <w:b/>
          <w:snapToGrid w:val="0"/>
          <w:lang w:val="en-US"/>
        </w:rPr>
        <w:br w:type="page"/>
      </w:r>
    </w:p>
    <w:sdt>
      <w:sdtPr>
        <w:id w:val="-131254704"/>
        <w:docPartObj>
          <w:docPartGallery w:val="Table of Contents"/>
          <w:docPartUnique/>
        </w:docPartObj>
      </w:sdtPr>
      <w:sdtEndPr>
        <w:rPr>
          <w:b/>
          <w:bCs/>
        </w:rPr>
      </w:sdtEndPr>
      <w:sdtContent>
        <w:p w14:paraId="336C8E4F" w14:textId="77777777" w:rsidR="001B079F" w:rsidRPr="00E955F7" w:rsidRDefault="001B079F" w:rsidP="00E955F7">
          <w:pPr>
            <w:ind w:left="720"/>
            <w:jc w:val="center"/>
          </w:pPr>
        </w:p>
        <w:p w14:paraId="05A324BC" w14:textId="4D4C2806" w:rsidR="001B079F" w:rsidRPr="00E955F7" w:rsidRDefault="004711A5" w:rsidP="00E955F7">
          <w:pPr>
            <w:tabs>
              <w:tab w:val="left" w:pos="6270"/>
            </w:tabs>
            <w:ind w:left="720"/>
          </w:pPr>
          <w:r>
            <w:tab/>
          </w:r>
        </w:p>
        <w:p w14:paraId="6ACD679C" w14:textId="671AAE71" w:rsidR="0073004C" w:rsidRPr="00E955F7" w:rsidRDefault="008B43B8" w:rsidP="00E955F7">
          <w:pPr>
            <w:ind w:left="720"/>
            <w:jc w:val="center"/>
            <w:rPr>
              <w:b/>
            </w:rPr>
          </w:pPr>
          <w:r w:rsidRPr="00E955F7">
            <w:rPr>
              <w:b/>
            </w:rPr>
            <w:t>SOMMAIRE</w:t>
          </w:r>
        </w:p>
        <w:p w14:paraId="650CAC1A" w14:textId="77777777" w:rsidR="00C02151" w:rsidRPr="00E955F7" w:rsidRDefault="00C02151" w:rsidP="00E955F7">
          <w:pPr>
            <w:ind w:left="720"/>
            <w:jc w:val="center"/>
            <w:rPr>
              <w:b/>
            </w:rPr>
          </w:pPr>
        </w:p>
        <w:p w14:paraId="22DF3605" w14:textId="37C5B4C0" w:rsidR="00FD35DF" w:rsidRDefault="0073004C">
          <w:pPr>
            <w:pStyle w:val="TM1"/>
            <w:tabs>
              <w:tab w:val="left" w:pos="1680"/>
              <w:tab w:val="right" w:leader="dot" w:pos="9636"/>
            </w:tabs>
            <w:rPr>
              <w:rFonts w:asciiTheme="minorHAnsi" w:eastAsiaTheme="minorEastAsia" w:hAnsiTheme="minorHAnsi" w:cstheme="minorBidi"/>
              <w:noProof/>
              <w:kern w:val="2"/>
              <w14:ligatures w14:val="standardContextual"/>
            </w:rPr>
          </w:pPr>
          <w:r w:rsidRPr="00E955F7">
            <w:fldChar w:fldCharType="begin"/>
          </w:r>
          <w:r w:rsidRPr="00E955F7">
            <w:instrText xml:space="preserve"> TOC \o "1-3" \h \z \u </w:instrText>
          </w:r>
          <w:r w:rsidRPr="00E955F7">
            <w:fldChar w:fldCharType="separate"/>
          </w:r>
          <w:hyperlink w:anchor="_Toc206579948" w:history="1">
            <w:r w:rsidR="00FD35DF" w:rsidRPr="00D80D4D">
              <w:rPr>
                <w:rStyle w:val="Lienhypertexte"/>
                <w:noProof/>
                <w:lang w:val="en-US"/>
                <w14:scene3d>
                  <w14:camera w14:prst="orthographicFront"/>
                  <w14:lightRig w14:rig="threePt" w14:dir="t">
                    <w14:rot w14:lat="0" w14:lon="0" w14:rev="0"/>
                  </w14:lightRig>
                </w14:scene3d>
              </w:rPr>
              <w:t>ARTICLE 1.</w:t>
            </w:r>
            <w:r w:rsidR="00FD35DF">
              <w:rPr>
                <w:rFonts w:asciiTheme="minorHAnsi" w:eastAsiaTheme="minorEastAsia" w:hAnsiTheme="minorHAnsi" w:cstheme="minorBidi"/>
                <w:noProof/>
                <w:kern w:val="2"/>
                <w14:ligatures w14:val="standardContextual"/>
              </w:rPr>
              <w:tab/>
            </w:r>
            <w:r w:rsidR="00FD35DF" w:rsidRPr="00D80D4D">
              <w:rPr>
                <w:rStyle w:val="Lienhypertexte"/>
                <w:iCs/>
                <w:noProof/>
                <w:lang w:val="en-US"/>
              </w:rPr>
              <w:t>Introduction</w:t>
            </w:r>
            <w:r w:rsidR="00FD35DF">
              <w:rPr>
                <w:noProof/>
                <w:webHidden/>
              </w:rPr>
              <w:tab/>
            </w:r>
            <w:r w:rsidR="00FD35DF">
              <w:rPr>
                <w:noProof/>
                <w:webHidden/>
              </w:rPr>
              <w:fldChar w:fldCharType="begin"/>
            </w:r>
            <w:r w:rsidR="00FD35DF">
              <w:rPr>
                <w:noProof/>
                <w:webHidden/>
              </w:rPr>
              <w:instrText xml:space="preserve"> PAGEREF _Toc206579948 \h </w:instrText>
            </w:r>
            <w:r w:rsidR="00FD35DF">
              <w:rPr>
                <w:noProof/>
                <w:webHidden/>
              </w:rPr>
            </w:r>
            <w:r w:rsidR="00FD35DF">
              <w:rPr>
                <w:noProof/>
                <w:webHidden/>
              </w:rPr>
              <w:fldChar w:fldCharType="separate"/>
            </w:r>
            <w:r w:rsidR="00FD35DF">
              <w:rPr>
                <w:noProof/>
                <w:webHidden/>
              </w:rPr>
              <w:t>3</w:t>
            </w:r>
            <w:r w:rsidR="00FD35DF">
              <w:rPr>
                <w:noProof/>
                <w:webHidden/>
              </w:rPr>
              <w:fldChar w:fldCharType="end"/>
            </w:r>
          </w:hyperlink>
        </w:p>
        <w:p w14:paraId="68283134" w14:textId="40A82763" w:rsidR="00FD35DF" w:rsidRDefault="00FD35DF">
          <w:pPr>
            <w:pStyle w:val="TM1"/>
            <w:tabs>
              <w:tab w:val="left" w:pos="1680"/>
              <w:tab w:val="right" w:leader="dot" w:pos="9636"/>
            </w:tabs>
            <w:rPr>
              <w:rFonts w:asciiTheme="minorHAnsi" w:eastAsiaTheme="minorEastAsia" w:hAnsiTheme="minorHAnsi" w:cstheme="minorBidi"/>
              <w:noProof/>
              <w:kern w:val="2"/>
              <w14:ligatures w14:val="standardContextual"/>
            </w:rPr>
          </w:pPr>
          <w:hyperlink w:anchor="_Toc206579949" w:history="1">
            <w:r w:rsidRPr="00D80D4D">
              <w:rPr>
                <w:rStyle w:val="Lienhypertexte"/>
                <w:noProof/>
                <w:lang w:val="en-US"/>
                <w14:scene3d>
                  <w14:camera w14:prst="orthographicFront"/>
                  <w14:lightRig w14:rig="threePt" w14:dir="t">
                    <w14:rot w14:lat="0" w14:lon="0" w14:rev="0"/>
                  </w14:lightRig>
                </w14:scene3d>
              </w:rPr>
              <w:t>ARTICLE 2.</w:t>
            </w:r>
            <w:r>
              <w:rPr>
                <w:rFonts w:asciiTheme="minorHAnsi" w:eastAsiaTheme="minorEastAsia" w:hAnsiTheme="minorHAnsi" w:cstheme="minorBidi"/>
                <w:noProof/>
                <w:kern w:val="2"/>
                <w14:ligatures w14:val="standardContextual"/>
              </w:rPr>
              <w:tab/>
            </w:r>
            <w:r w:rsidRPr="00D80D4D">
              <w:rPr>
                <w:rStyle w:val="Lienhypertexte"/>
                <w:noProof/>
                <w:lang w:val="en-US"/>
              </w:rPr>
              <w:t>Context and purpose of the engagement</w:t>
            </w:r>
            <w:r>
              <w:rPr>
                <w:noProof/>
                <w:webHidden/>
              </w:rPr>
              <w:tab/>
            </w:r>
            <w:r>
              <w:rPr>
                <w:noProof/>
                <w:webHidden/>
              </w:rPr>
              <w:fldChar w:fldCharType="begin"/>
            </w:r>
            <w:r>
              <w:rPr>
                <w:noProof/>
                <w:webHidden/>
              </w:rPr>
              <w:instrText xml:space="preserve"> PAGEREF _Toc206579949 \h </w:instrText>
            </w:r>
            <w:r>
              <w:rPr>
                <w:noProof/>
                <w:webHidden/>
              </w:rPr>
            </w:r>
            <w:r>
              <w:rPr>
                <w:noProof/>
                <w:webHidden/>
              </w:rPr>
              <w:fldChar w:fldCharType="separate"/>
            </w:r>
            <w:r>
              <w:rPr>
                <w:noProof/>
                <w:webHidden/>
              </w:rPr>
              <w:t>4</w:t>
            </w:r>
            <w:r>
              <w:rPr>
                <w:noProof/>
                <w:webHidden/>
              </w:rPr>
              <w:fldChar w:fldCharType="end"/>
            </w:r>
          </w:hyperlink>
        </w:p>
        <w:p w14:paraId="68F496D1" w14:textId="730FD755" w:rsidR="00FD35DF" w:rsidRDefault="00FD35DF">
          <w:pPr>
            <w:pStyle w:val="TM2"/>
            <w:tabs>
              <w:tab w:val="left" w:pos="960"/>
              <w:tab w:val="right" w:leader="dot" w:pos="9636"/>
            </w:tabs>
            <w:rPr>
              <w:rFonts w:asciiTheme="minorHAnsi" w:eastAsiaTheme="minorEastAsia" w:hAnsiTheme="minorHAnsi" w:cstheme="minorBidi"/>
              <w:noProof/>
              <w:kern w:val="2"/>
              <w14:ligatures w14:val="standardContextual"/>
            </w:rPr>
          </w:pPr>
          <w:hyperlink w:anchor="_Toc206579950" w:history="1">
            <w:r w:rsidRPr="00D80D4D">
              <w:rPr>
                <w:rStyle w:val="Lienhypertexte"/>
                <w:noProof/>
                <w:lang w:val="en-US"/>
              </w:rPr>
              <w:t>2.1</w:t>
            </w:r>
            <w:r>
              <w:rPr>
                <w:rFonts w:asciiTheme="minorHAnsi" w:eastAsiaTheme="minorEastAsia" w:hAnsiTheme="minorHAnsi" w:cstheme="minorBidi"/>
                <w:noProof/>
                <w:kern w:val="2"/>
                <w14:ligatures w14:val="standardContextual"/>
              </w:rPr>
              <w:tab/>
            </w:r>
            <w:r w:rsidRPr="00D80D4D">
              <w:rPr>
                <w:rStyle w:val="Lienhypertexte"/>
                <w:noProof/>
                <w:lang w:val="en-US"/>
              </w:rPr>
              <w:t>Presentation of Agaciro</w:t>
            </w:r>
            <w:r>
              <w:rPr>
                <w:noProof/>
                <w:webHidden/>
              </w:rPr>
              <w:tab/>
            </w:r>
            <w:r>
              <w:rPr>
                <w:noProof/>
                <w:webHidden/>
              </w:rPr>
              <w:fldChar w:fldCharType="begin"/>
            </w:r>
            <w:r>
              <w:rPr>
                <w:noProof/>
                <w:webHidden/>
              </w:rPr>
              <w:instrText xml:space="preserve"> PAGEREF _Toc206579950 \h </w:instrText>
            </w:r>
            <w:r>
              <w:rPr>
                <w:noProof/>
                <w:webHidden/>
              </w:rPr>
            </w:r>
            <w:r>
              <w:rPr>
                <w:noProof/>
                <w:webHidden/>
              </w:rPr>
              <w:fldChar w:fldCharType="separate"/>
            </w:r>
            <w:r>
              <w:rPr>
                <w:noProof/>
                <w:webHidden/>
              </w:rPr>
              <w:t>4</w:t>
            </w:r>
            <w:r>
              <w:rPr>
                <w:noProof/>
                <w:webHidden/>
              </w:rPr>
              <w:fldChar w:fldCharType="end"/>
            </w:r>
          </w:hyperlink>
        </w:p>
        <w:p w14:paraId="0A4AC498" w14:textId="463A64A6" w:rsidR="00FD35DF" w:rsidRDefault="00FD35DF">
          <w:pPr>
            <w:pStyle w:val="TM2"/>
            <w:tabs>
              <w:tab w:val="left" w:pos="960"/>
              <w:tab w:val="right" w:leader="dot" w:pos="9636"/>
            </w:tabs>
            <w:rPr>
              <w:rFonts w:asciiTheme="minorHAnsi" w:eastAsiaTheme="minorEastAsia" w:hAnsiTheme="minorHAnsi" w:cstheme="minorBidi"/>
              <w:noProof/>
              <w:kern w:val="2"/>
              <w14:ligatures w14:val="standardContextual"/>
            </w:rPr>
          </w:pPr>
          <w:hyperlink w:anchor="_Toc206579951" w:history="1">
            <w:r w:rsidRPr="00D80D4D">
              <w:rPr>
                <w:rStyle w:val="Lienhypertexte"/>
                <w:noProof/>
                <w:lang w:val="en-ZA"/>
              </w:rPr>
              <w:t>2.2</w:t>
            </w:r>
            <w:r>
              <w:rPr>
                <w:rFonts w:asciiTheme="minorHAnsi" w:eastAsiaTheme="minorEastAsia" w:hAnsiTheme="minorHAnsi" w:cstheme="minorBidi"/>
                <w:noProof/>
                <w:kern w:val="2"/>
                <w14:ligatures w14:val="standardContextual"/>
              </w:rPr>
              <w:tab/>
            </w:r>
            <w:r w:rsidRPr="00D80D4D">
              <w:rPr>
                <w:rStyle w:val="Lienhypertexte"/>
                <w:noProof/>
                <w:lang w:val="en-ZA"/>
              </w:rPr>
              <w:t>AFD's intervention/strategy in Rwanda</w:t>
            </w:r>
            <w:r>
              <w:rPr>
                <w:noProof/>
                <w:webHidden/>
              </w:rPr>
              <w:tab/>
            </w:r>
            <w:r>
              <w:rPr>
                <w:noProof/>
                <w:webHidden/>
              </w:rPr>
              <w:fldChar w:fldCharType="begin"/>
            </w:r>
            <w:r>
              <w:rPr>
                <w:noProof/>
                <w:webHidden/>
              </w:rPr>
              <w:instrText xml:space="preserve"> PAGEREF _Toc206579951 \h </w:instrText>
            </w:r>
            <w:r>
              <w:rPr>
                <w:noProof/>
                <w:webHidden/>
              </w:rPr>
            </w:r>
            <w:r>
              <w:rPr>
                <w:noProof/>
                <w:webHidden/>
              </w:rPr>
              <w:fldChar w:fldCharType="separate"/>
            </w:r>
            <w:r>
              <w:rPr>
                <w:noProof/>
                <w:webHidden/>
              </w:rPr>
              <w:t>4</w:t>
            </w:r>
            <w:r>
              <w:rPr>
                <w:noProof/>
                <w:webHidden/>
              </w:rPr>
              <w:fldChar w:fldCharType="end"/>
            </w:r>
          </w:hyperlink>
        </w:p>
        <w:p w14:paraId="7164A793" w14:textId="25CFCCA7" w:rsidR="00FD35DF" w:rsidRDefault="00FD35DF">
          <w:pPr>
            <w:pStyle w:val="TM1"/>
            <w:tabs>
              <w:tab w:val="left" w:pos="1680"/>
              <w:tab w:val="right" w:leader="dot" w:pos="9636"/>
            </w:tabs>
            <w:rPr>
              <w:rFonts w:asciiTheme="minorHAnsi" w:eastAsiaTheme="minorEastAsia" w:hAnsiTheme="minorHAnsi" w:cstheme="minorBidi"/>
              <w:noProof/>
              <w:kern w:val="2"/>
              <w14:ligatures w14:val="standardContextual"/>
            </w:rPr>
          </w:pPr>
          <w:hyperlink w:anchor="_Toc206579952" w:history="1">
            <w:r w:rsidRPr="00D80D4D">
              <w:rPr>
                <w:rStyle w:val="Lienhypertexte"/>
                <w:noProof/>
                <w:lang w:val="en-US"/>
                <w14:scene3d>
                  <w14:camera w14:prst="orthographicFront"/>
                  <w14:lightRig w14:rig="threePt" w14:dir="t">
                    <w14:rot w14:lat="0" w14:lon="0" w14:rev="0"/>
                  </w14:lightRig>
                </w14:scene3d>
              </w:rPr>
              <w:t>ARTICLE 3.</w:t>
            </w:r>
            <w:r>
              <w:rPr>
                <w:rFonts w:asciiTheme="minorHAnsi" w:eastAsiaTheme="minorEastAsia" w:hAnsiTheme="minorHAnsi" w:cstheme="minorBidi"/>
                <w:noProof/>
                <w:kern w:val="2"/>
                <w14:ligatures w14:val="standardContextual"/>
              </w:rPr>
              <w:tab/>
            </w:r>
            <w:r w:rsidRPr="00D80D4D">
              <w:rPr>
                <w:rStyle w:val="Lienhypertexte"/>
                <w:noProof/>
                <w:lang w:val="en-US"/>
              </w:rPr>
              <w:t>Objective and service expected under this tender</w:t>
            </w:r>
            <w:r>
              <w:rPr>
                <w:noProof/>
                <w:webHidden/>
              </w:rPr>
              <w:tab/>
            </w:r>
            <w:r>
              <w:rPr>
                <w:noProof/>
                <w:webHidden/>
              </w:rPr>
              <w:fldChar w:fldCharType="begin"/>
            </w:r>
            <w:r>
              <w:rPr>
                <w:noProof/>
                <w:webHidden/>
              </w:rPr>
              <w:instrText xml:space="preserve"> PAGEREF _Toc206579952 \h </w:instrText>
            </w:r>
            <w:r>
              <w:rPr>
                <w:noProof/>
                <w:webHidden/>
              </w:rPr>
            </w:r>
            <w:r>
              <w:rPr>
                <w:noProof/>
                <w:webHidden/>
              </w:rPr>
              <w:fldChar w:fldCharType="separate"/>
            </w:r>
            <w:r>
              <w:rPr>
                <w:noProof/>
                <w:webHidden/>
              </w:rPr>
              <w:t>5</w:t>
            </w:r>
            <w:r>
              <w:rPr>
                <w:noProof/>
                <w:webHidden/>
              </w:rPr>
              <w:fldChar w:fldCharType="end"/>
            </w:r>
          </w:hyperlink>
        </w:p>
        <w:p w14:paraId="3D7DA09F" w14:textId="160AA862" w:rsidR="00FD35DF" w:rsidRDefault="00FD35DF">
          <w:pPr>
            <w:pStyle w:val="TM2"/>
            <w:tabs>
              <w:tab w:val="left" w:pos="960"/>
              <w:tab w:val="right" w:leader="dot" w:pos="9636"/>
            </w:tabs>
            <w:rPr>
              <w:rFonts w:asciiTheme="minorHAnsi" w:eastAsiaTheme="minorEastAsia" w:hAnsiTheme="minorHAnsi" w:cstheme="minorBidi"/>
              <w:noProof/>
              <w:kern w:val="2"/>
              <w14:ligatures w14:val="standardContextual"/>
            </w:rPr>
          </w:pPr>
          <w:hyperlink w:anchor="_Toc206579953" w:history="1">
            <w:r w:rsidRPr="00D80D4D">
              <w:rPr>
                <w:rStyle w:val="Lienhypertexte"/>
                <w:noProof/>
                <w:lang w:val="en-US"/>
              </w:rPr>
              <w:t>3.1</w:t>
            </w:r>
            <w:r>
              <w:rPr>
                <w:rFonts w:asciiTheme="minorHAnsi" w:eastAsiaTheme="minorEastAsia" w:hAnsiTheme="minorHAnsi" w:cstheme="minorBidi"/>
                <w:noProof/>
                <w:kern w:val="2"/>
                <w14:ligatures w14:val="standardContextual"/>
              </w:rPr>
              <w:tab/>
            </w:r>
            <w:r w:rsidRPr="00D80D4D">
              <w:rPr>
                <w:rStyle w:val="Lienhypertexte"/>
                <w:noProof/>
                <w:lang w:val="en-US"/>
              </w:rPr>
              <w:t>Scope and content of work</w:t>
            </w:r>
            <w:r>
              <w:rPr>
                <w:noProof/>
                <w:webHidden/>
              </w:rPr>
              <w:tab/>
            </w:r>
            <w:r>
              <w:rPr>
                <w:noProof/>
                <w:webHidden/>
              </w:rPr>
              <w:fldChar w:fldCharType="begin"/>
            </w:r>
            <w:r>
              <w:rPr>
                <w:noProof/>
                <w:webHidden/>
              </w:rPr>
              <w:instrText xml:space="preserve"> PAGEREF _Toc206579953 \h </w:instrText>
            </w:r>
            <w:r>
              <w:rPr>
                <w:noProof/>
                <w:webHidden/>
              </w:rPr>
            </w:r>
            <w:r>
              <w:rPr>
                <w:noProof/>
                <w:webHidden/>
              </w:rPr>
              <w:fldChar w:fldCharType="separate"/>
            </w:r>
            <w:r>
              <w:rPr>
                <w:noProof/>
                <w:webHidden/>
              </w:rPr>
              <w:t>5</w:t>
            </w:r>
            <w:r>
              <w:rPr>
                <w:noProof/>
                <w:webHidden/>
              </w:rPr>
              <w:fldChar w:fldCharType="end"/>
            </w:r>
          </w:hyperlink>
        </w:p>
        <w:p w14:paraId="1787D519" w14:textId="32896BB8" w:rsidR="00FD35DF" w:rsidRDefault="00FD35DF">
          <w:pPr>
            <w:pStyle w:val="TM2"/>
            <w:tabs>
              <w:tab w:val="left" w:pos="960"/>
              <w:tab w:val="right" w:leader="dot" w:pos="9636"/>
            </w:tabs>
            <w:rPr>
              <w:rFonts w:asciiTheme="minorHAnsi" w:eastAsiaTheme="minorEastAsia" w:hAnsiTheme="minorHAnsi" w:cstheme="minorBidi"/>
              <w:noProof/>
              <w:kern w:val="2"/>
              <w14:ligatures w14:val="standardContextual"/>
            </w:rPr>
          </w:pPr>
          <w:hyperlink w:anchor="_Toc206579954" w:history="1">
            <w:r w:rsidRPr="00D80D4D">
              <w:rPr>
                <w:rStyle w:val="Lienhypertexte"/>
                <w:noProof/>
                <w:lang w:val="en-US"/>
              </w:rPr>
              <w:t>3.2</w:t>
            </w:r>
            <w:r>
              <w:rPr>
                <w:rFonts w:asciiTheme="minorHAnsi" w:eastAsiaTheme="minorEastAsia" w:hAnsiTheme="minorHAnsi" w:cstheme="minorBidi"/>
                <w:noProof/>
                <w:kern w:val="2"/>
                <w14:ligatures w14:val="standardContextual"/>
              </w:rPr>
              <w:tab/>
            </w:r>
            <w:r w:rsidRPr="00D80D4D">
              <w:rPr>
                <w:rStyle w:val="Lienhypertexte"/>
                <w:noProof/>
                <w:lang w:val="en-US"/>
              </w:rPr>
              <w:t>Activities</w:t>
            </w:r>
            <w:r>
              <w:rPr>
                <w:noProof/>
                <w:webHidden/>
              </w:rPr>
              <w:tab/>
            </w:r>
            <w:r>
              <w:rPr>
                <w:noProof/>
                <w:webHidden/>
              </w:rPr>
              <w:fldChar w:fldCharType="begin"/>
            </w:r>
            <w:r>
              <w:rPr>
                <w:noProof/>
                <w:webHidden/>
              </w:rPr>
              <w:instrText xml:space="preserve"> PAGEREF _Toc206579954 \h </w:instrText>
            </w:r>
            <w:r>
              <w:rPr>
                <w:noProof/>
                <w:webHidden/>
              </w:rPr>
            </w:r>
            <w:r>
              <w:rPr>
                <w:noProof/>
                <w:webHidden/>
              </w:rPr>
              <w:fldChar w:fldCharType="separate"/>
            </w:r>
            <w:r>
              <w:rPr>
                <w:noProof/>
                <w:webHidden/>
              </w:rPr>
              <w:t>6</w:t>
            </w:r>
            <w:r>
              <w:rPr>
                <w:noProof/>
                <w:webHidden/>
              </w:rPr>
              <w:fldChar w:fldCharType="end"/>
            </w:r>
          </w:hyperlink>
        </w:p>
        <w:p w14:paraId="5106D1AF" w14:textId="646637EE" w:rsidR="00FD35DF" w:rsidRDefault="00FD35DF">
          <w:pPr>
            <w:pStyle w:val="TM2"/>
            <w:tabs>
              <w:tab w:val="left" w:pos="960"/>
              <w:tab w:val="right" w:leader="dot" w:pos="9636"/>
            </w:tabs>
            <w:rPr>
              <w:rFonts w:asciiTheme="minorHAnsi" w:eastAsiaTheme="minorEastAsia" w:hAnsiTheme="minorHAnsi" w:cstheme="minorBidi"/>
              <w:noProof/>
              <w:kern w:val="2"/>
              <w14:ligatures w14:val="standardContextual"/>
            </w:rPr>
          </w:pPr>
          <w:hyperlink w:anchor="_Toc206579955" w:history="1">
            <w:r w:rsidRPr="00D80D4D">
              <w:rPr>
                <w:rStyle w:val="Lienhypertexte"/>
                <w:noProof/>
              </w:rPr>
              <w:t>3.3</w:t>
            </w:r>
            <w:r>
              <w:rPr>
                <w:rFonts w:asciiTheme="minorHAnsi" w:eastAsiaTheme="minorEastAsia" w:hAnsiTheme="minorHAnsi" w:cstheme="minorBidi"/>
                <w:noProof/>
                <w:kern w:val="2"/>
                <w14:ligatures w14:val="standardContextual"/>
              </w:rPr>
              <w:tab/>
            </w:r>
            <w:r w:rsidRPr="00D80D4D">
              <w:rPr>
                <w:rStyle w:val="Lienhypertexte"/>
                <w:noProof/>
              </w:rPr>
              <w:t>Expected deliverables</w:t>
            </w:r>
            <w:r>
              <w:rPr>
                <w:noProof/>
                <w:webHidden/>
              </w:rPr>
              <w:tab/>
            </w:r>
            <w:r>
              <w:rPr>
                <w:noProof/>
                <w:webHidden/>
              </w:rPr>
              <w:fldChar w:fldCharType="begin"/>
            </w:r>
            <w:r>
              <w:rPr>
                <w:noProof/>
                <w:webHidden/>
              </w:rPr>
              <w:instrText xml:space="preserve"> PAGEREF _Toc206579955 \h </w:instrText>
            </w:r>
            <w:r>
              <w:rPr>
                <w:noProof/>
                <w:webHidden/>
              </w:rPr>
            </w:r>
            <w:r>
              <w:rPr>
                <w:noProof/>
                <w:webHidden/>
              </w:rPr>
              <w:fldChar w:fldCharType="separate"/>
            </w:r>
            <w:r>
              <w:rPr>
                <w:noProof/>
                <w:webHidden/>
              </w:rPr>
              <w:t>8</w:t>
            </w:r>
            <w:r>
              <w:rPr>
                <w:noProof/>
                <w:webHidden/>
              </w:rPr>
              <w:fldChar w:fldCharType="end"/>
            </w:r>
          </w:hyperlink>
        </w:p>
        <w:p w14:paraId="0DA709DC" w14:textId="4F36A875" w:rsidR="00FD35DF" w:rsidRDefault="00FD35DF">
          <w:pPr>
            <w:pStyle w:val="TM2"/>
            <w:tabs>
              <w:tab w:val="left" w:pos="960"/>
              <w:tab w:val="right" w:leader="dot" w:pos="9636"/>
            </w:tabs>
            <w:rPr>
              <w:rFonts w:asciiTheme="minorHAnsi" w:eastAsiaTheme="minorEastAsia" w:hAnsiTheme="minorHAnsi" w:cstheme="minorBidi"/>
              <w:noProof/>
              <w:kern w:val="2"/>
              <w14:ligatures w14:val="standardContextual"/>
            </w:rPr>
          </w:pPr>
          <w:hyperlink w:anchor="_Toc206579956" w:history="1">
            <w:r w:rsidRPr="00D80D4D">
              <w:rPr>
                <w:rStyle w:val="Lienhypertexte"/>
                <w:noProof/>
              </w:rPr>
              <w:t>3.4</w:t>
            </w:r>
            <w:r>
              <w:rPr>
                <w:rFonts w:asciiTheme="minorHAnsi" w:eastAsiaTheme="minorEastAsia" w:hAnsiTheme="minorHAnsi" w:cstheme="minorBidi"/>
                <w:noProof/>
                <w:kern w:val="2"/>
                <w14:ligatures w14:val="standardContextual"/>
              </w:rPr>
              <w:tab/>
            </w:r>
            <w:r w:rsidRPr="00D80D4D">
              <w:rPr>
                <w:rStyle w:val="Lienhypertexte"/>
                <w:rFonts w:eastAsia="Calibri"/>
                <w:noProof/>
                <w:lang w:val="en-US" w:eastAsia="en-US"/>
              </w:rPr>
              <w:t xml:space="preserve">Draft eligibility criteria, TA program design, and financing structure options. </w:t>
            </w:r>
            <w:r w:rsidRPr="00D80D4D">
              <w:rPr>
                <w:rStyle w:val="Lienhypertexte"/>
                <w:noProof/>
              </w:rPr>
              <w:t>Deliverables validation process</w:t>
            </w:r>
            <w:r>
              <w:rPr>
                <w:noProof/>
                <w:webHidden/>
              </w:rPr>
              <w:tab/>
            </w:r>
            <w:r>
              <w:rPr>
                <w:noProof/>
                <w:webHidden/>
              </w:rPr>
              <w:fldChar w:fldCharType="begin"/>
            </w:r>
            <w:r>
              <w:rPr>
                <w:noProof/>
                <w:webHidden/>
              </w:rPr>
              <w:instrText xml:space="preserve"> PAGEREF _Toc206579956 \h </w:instrText>
            </w:r>
            <w:r>
              <w:rPr>
                <w:noProof/>
                <w:webHidden/>
              </w:rPr>
            </w:r>
            <w:r>
              <w:rPr>
                <w:noProof/>
                <w:webHidden/>
              </w:rPr>
              <w:fldChar w:fldCharType="separate"/>
            </w:r>
            <w:r>
              <w:rPr>
                <w:noProof/>
                <w:webHidden/>
              </w:rPr>
              <w:t>8</w:t>
            </w:r>
            <w:r>
              <w:rPr>
                <w:noProof/>
                <w:webHidden/>
              </w:rPr>
              <w:fldChar w:fldCharType="end"/>
            </w:r>
          </w:hyperlink>
        </w:p>
        <w:p w14:paraId="5C31E3E2" w14:textId="5814EAFD" w:rsidR="00FD35DF" w:rsidRDefault="00FD35DF">
          <w:pPr>
            <w:pStyle w:val="TM1"/>
            <w:tabs>
              <w:tab w:val="left" w:pos="1680"/>
              <w:tab w:val="right" w:leader="dot" w:pos="9636"/>
            </w:tabs>
            <w:rPr>
              <w:rFonts w:asciiTheme="minorHAnsi" w:eastAsiaTheme="minorEastAsia" w:hAnsiTheme="minorHAnsi" w:cstheme="minorBidi"/>
              <w:noProof/>
              <w:kern w:val="2"/>
              <w14:ligatures w14:val="standardContextual"/>
            </w:rPr>
          </w:pPr>
          <w:hyperlink w:anchor="_Toc206579957" w:history="1">
            <w:r w:rsidRPr="00D80D4D">
              <w:rPr>
                <w:rStyle w:val="Lienhypertexte"/>
                <w:noProof/>
                <w:lang w:val="en-US"/>
                <w14:scene3d>
                  <w14:camera w14:prst="orthographicFront"/>
                  <w14:lightRig w14:rig="threePt" w14:dir="t">
                    <w14:rot w14:lat="0" w14:lon="0" w14:rev="0"/>
                  </w14:lightRig>
                </w14:scene3d>
              </w:rPr>
              <w:t>ARTICLE 4.</w:t>
            </w:r>
            <w:r>
              <w:rPr>
                <w:rFonts w:asciiTheme="minorHAnsi" w:eastAsiaTheme="minorEastAsia" w:hAnsiTheme="minorHAnsi" w:cstheme="minorBidi"/>
                <w:noProof/>
                <w:kern w:val="2"/>
                <w14:ligatures w14:val="standardContextual"/>
              </w:rPr>
              <w:tab/>
            </w:r>
            <w:r w:rsidRPr="00D80D4D">
              <w:rPr>
                <w:rStyle w:val="Lienhypertexte"/>
                <w:noProof/>
                <w:lang w:val="en-US"/>
              </w:rPr>
              <w:t>Consultant profile, organization and selection criteria</w:t>
            </w:r>
            <w:r>
              <w:rPr>
                <w:noProof/>
                <w:webHidden/>
              </w:rPr>
              <w:tab/>
            </w:r>
            <w:r>
              <w:rPr>
                <w:noProof/>
                <w:webHidden/>
              </w:rPr>
              <w:fldChar w:fldCharType="begin"/>
            </w:r>
            <w:r>
              <w:rPr>
                <w:noProof/>
                <w:webHidden/>
              </w:rPr>
              <w:instrText xml:space="preserve"> PAGEREF _Toc206579957 \h </w:instrText>
            </w:r>
            <w:r>
              <w:rPr>
                <w:noProof/>
                <w:webHidden/>
              </w:rPr>
            </w:r>
            <w:r>
              <w:rPr>
                <w:noProof/>
                <w:webHidden/>
              </w:rPr>
              <w:fldChar w:fldCharType="separate"/>
            </w:r>
            <w:r>
              <w:rPr>
                <w:noProof/>
                <w:webHidden/>
              </w:rPr>
              <w:t>9</w:t>
            </w:r>
            <w:r>
              <w:rPr>
                <w:noProof/>
                <w:webHidden/>
              </w:rPr>
              <w:fldChar w:fldCharType="end"/>
            </w:r>
          </w:hyperlink>
        </w:p>
        <w:p w14:paraId="01004054" w14:textId="58E6E0EB" w:rsidR="00FD35DF" w:rsidRDefault="00FD35DF">
          <w:pPr>
            <w:pStyle w:val="TM2"/>
            <w:tabs>
              <w:tab w:val="left" w:pos="960"/>
              <w:tab w:val="right" w:leader="dot" w:pos="9636"/>
            </w:tabs>
            <w:rPr>
              <w:rFonts w:asciiTheme="minorHAnsi" w:eastAsiaTheme="minorEastAsia" w:hAnsiTheme="minorHAnsi" w:cstheme="minorBidi"/>
              <w:noProof/>
              <w:kern w:val="2"/>
              <w14:ligatures w14:val="standardContextual"/>
            </w:rPr>
          </w:pPr>
          <w:hyperlink w:anchor="_Toc206579958" w:history="1">
            <w:r w:rsidRPr="00D80D4D">
              <w:rPr>
                <w:rStyle w:val="Lienhypertexte"/>
                <w:noProof/>
              </w:rPr>
              <w:t>4.1</w:t>
            </w:r>
            <w:r>
              <w:rPr>
                <w:rFonts w:asciiTheme="minorHAnsi" w:eastAsiaTheme="minorEastAsia" w:hAnsiTheme="minorHAnsi" w:cstheme="minorBidi"/>
                <w:noProof/>
                <w:kern w:val="2"/>
                <w14:ligatures w14:val="standardContextual"/>
              </w:rPr>
              <w:tab/>
            </w:r>
            <w:r w:rsidRPr="00D80D4D">
              <w:rPr>
                <w:rStyle w:val="Lienhypertexte"/>
                <w:noProof/>
              </w:rPr>
              <w:t>Consultant profile</w:t>
            </w:r>
            <w:r>
              <w:rPr>
                <w:noProof/>
                <w:webHidden/>
              </w:rPr>
              <w:tab/>
            </w:r>
            <w:r>
              <w:rPr>
                <w:noProof/>
                <w:webHidden/>
              </w:rPr>
              <w:fldChar w:fldCharType="begin"/>
            </w:r>
            <w:r>
              <w:rPr>
                <w:noProof/>
                <w:webHidden/>
              </w:rPr>
              <w:instrText xml:space="preserve"> PAGEREF _Toc206579958 \h </w:instrText>
            </w:r>
            <w:r>
              <w:rPr>
                <w:noProof/>
                <w:webHidden/>
              </w:rPr>
            </w:r>
            <w:r>
              <w:rPr>
                <w:noProof/>
                <w:webHidden/>
              </w:rPr>
              <w:fldChar w:fldCharType="separate"/>
            </w:r>
            <w:r>
              <w:rPr>
                <w:noProof/>
                <w:webHidden/>
              </w:rPr>
              <w:t>9</w:t>
            </w:r>
            <w:r>
              <w:rPr>
                <w:noProof/>
                <w:webHidden/>
              </w:rPr>
              <w:fldChar w:fldCharType="end"/>
            </w:r>
          </w:hyperlink>
        </w:p>
        <w:p w14:paraId="01B08739" w14:textId="59638AB8" w:rsidR="00FD35DF" w:rsidRDefault="00FD35DF">
          <w:pPr>
            <w:pStyle w:val="TM2"/>
            <w:tabs>
              <w:tab w:val="left" w:pos="960"/>
              <w:tab w:val="right" w:leader="dot" w:pos="9636"/>
            </w:tabs>
            <w:rPr>
              <w:rFonts w:asciiTheme="minorHAnsi" w:eastAsiaTheme="minorEastAsia" w:hAnsiTheme="minorHAnsi" w:cstheme="minorBidi"/>
              <w:noProof/>
              <w:kern w:val="2"/>
              <w14:ligatures w14:val="standardContextual"/>
            </w:rPr>
          </w:pPr>
          <w:hyperlink w:anchor="_Toc206579959" w:history="1">
            <w:r w:rsidRPr="00D80D4D">
              <w:rPr>
                <w:rStyle w:val="Lienhypertexte"/>
                <w:noProof/>
              </w:rPr>
              <w:t>4.2</w:t>
            </w:r>
            <w:r>
              <w:rPr>
                <w:rFonts w:asciiTheme="minorHAnsi" w:eastAsiaTheme="minorEastAsia" w:hAnsiTheme="minorHAnsi" w:cstheme="minorBidi"/>
                <w:noProof/>
                <w:kern w:val="2"/>
                <w14:ligatures w14:val="standardContextual"/>
              </w:rPr>
              <w:tab/>
            </w:r>
            <w:r w:rsidRPr="00D80D4D">
              <w:rPr>
                <w:rStyle w:val="Lienhypertexte"/>
                <w:noProof/>
              </w:rPr>
              <w:t>Organization of the mission</w:t>
            </w:r>
            <w:r>
              <w:rPr>
                <w:noProof/>
                <w:webHidden/>
              </w:rPr>
              <w:tab/>
            </w:r>
            <w:r>
              <w:rPr>
                <w:noProof/>
                <w:webHidden/>
              </w:rPr>
              <w:fldChar w:fldCharType="begin"/>
            </w:r>
            <w:r>
              <w:rPr>
                <w:noProof/>
                <w:webHidden/>
              </w:rPr>
              <w:instrText xml:space="preserve"> PAGEREF _Toc206579959 \h </w:instrText>
            </w:r>
            <w:r>
              <w:rPr>
                <w:noProof/>
                <w:webHidden/>
              </w:rPr>
            </w:r>
            <w:r>
              <w:rPr>
                <w:noProof/>
                <w:webHidden/>
              </w:rPr>
              <w:fldChar w:fldCharType="separate"/>
            </w:r>
            <w:r>
              <w:rPr>
                <w:noProof/>
                <w:webHidden/>
              </w:rPr>
              <w:t>9</w:t>
            </w:r>
            <w:r>
              <w:rPr>
                <w:noProof/>
                <w:webHidden/>
              </w:rPr>
              <w:fldChar w:fldCharType="end"/>
            </w:r>
          </w:hyperlink>
        </w:p>
        <w:p w14:paraId="6C404BBB" w14:textId="292114A2" w:rsidR="00FD35DF" w:rsidRDefault="00FD35DF">
          <w:pPr>
            <w:pStyle w:val="TM2"/>
            <w:tabs>
              <w:tab w:val="left" w:pos="960"/>
              <w:tab w:val="right" w:leader="dot" w:pos="9636"/>
            </w:tabs>
            <w:rPr>
              <w:rFonts w:asciiTheme="minorHAnsi" w:eastAsiaTheme="minorEastAsia" w:hAnsiTheme="minorHAnsi" w:cstheme="minorBidi"/>
              <w:noProof/>
              <w:kern w:val="2"/>
              <w14:ligatures w14:val="standardContextual"/>
            </w:rPr>
          </w:pPr>
          <w:hyperlink w:anchor="_Toc206579960" w:history="1">
            <w:r w:rsidRPr="00D80D4D">
              <w:rPr>
                <w:rStyle w:val="Lienhypertexte"/>
                <w:noProof/>
                <w:lang w:val="en-US"/>
              </w:rPr>
              <w:t>4.3</w:t>
            </w:r>
            <w:r>
              <w:rPr>
                <w:rFonts w:asciiTheme="minorHAnsi" w:eastAsiaTheme="minorEastAsia" w:hAnsiTheme="minorHAnsi" w:cstheme="minorBidi"/>
                <w:noProof/>
                <w:kern w:val="2"/>
                <w14:ligatures w14:val="standardContextual"/>
              </w:rPr>
              <w:tab/>
            </w:r>
            <w:r w:rsidRPr="00D80D4D">
              <w:rPr>
                <w:rStyle w:val="Lienhypertexte"/>
                <w:noProof/>
                <w:lang w:val="en-US"/>
              </w:rPr>
              <w:t>Estimated time frame for the service</w:t>
            </w:r>
            <w:r>
              <w:rPr>
                <w:noProof/>
                <w:webHidden/>
              </w:rPr>
              <w:tab/>
            </w:r>
            <w:r>
              <w:rPr>
                <w:noProof/>
                <w:webHidden/>
              </w:rPr>
              <w:fldChar w:fldCharType="begin"/>
            </w:r>
            <w:r>
              <w:rPr>
                <w:noProof/>
                <w:webHidden/>
              </w:rPr>
              <w:instrText xml:space="preserve"> PAGEREF _Toc206579960 \h </w:instrText>
            </w:r>
            <w:r>
              <w:rPr>
                <w:noProof/>
                <w:webHidden/>
              </w:rPr>
            </w:r>
            <w:r>
              <w:rPr>
                <w:noProof/>
                <w:webHidden/>
              </w:rPr>
              <w:fldChar w:fldCharType="separate"/>
            </w:r>
            <w:r>
              <w:rPr>
                <w:noProof/>
                <w:webHidden/>
              </w:rPr>
              <w:t>10</w:t>
            </w:r>
            <w:r>
              <w:rPr>
                <w:noProof/>
                <w:webHidden/>
              </w:rPr>
              <w:fldChar w:fldCharType="end"/>
            </w:r>
          </w:hyperlink>
        </w:p>
        <w:p w14:paraId="41856F85" w14:textId="79A628D8" w:rsidR="0073004C" w:rsidRPr="00E955F7" w:rsidRDefault="0073004C" w:rsidP="00E955F7">
          <w:pPr>
            <w:ind w:left="720"/>
          </w:pPr>
          <w:r w:rsidRPr="00E955F7">
            <w:rPr>
              <w:b/>
              <w:bCs/>
            </w:rPr>
            <w:fldChar w:fldCharType="end"/>
          </w:r>
        </w:p>
      </w:sdtContent>
    </w:sdt>
    <w:p w14:paraId="37140B32" w14:textId="77777777" w:rsidR="0073004C" w:rsidRPr="00E955F7" w:rsidRDefault="0073004C" w:rsidP="00E955F7">
      <w:pPr>
        <w:ind w:left="720"/>
        <w:rPr>
          <w:b/>
          <w:snapToGrid w:val="0"/>
        </w:rPr>
      </w:pPr>
      <w:r w:rsidRPr="00E955F7">
        <w:rPr>
          <w:b/>
          <w:snapToGrid w:val="0"/>
        </w:rPr>
        <w:br w:type="page"/>
      </w:r>
    </w:p>
    <w:p w14:paraId="47B3EDE8" w14:textId="5B1FD4CC" w:rsidR="004711A5" w:rsidRPr="00E955F7" w:rsidRDefault="004711A5" w:rsidP="00E955F7">
      <w:pPr>
        <w:pStyle w:val="Titre1"/>
        <w:ind w:left="2782" w:hanging="1211"/>
        <w:rPr>
          <w:rFonts w:ascii="Times New Roman" w:hAnsi="Times New Roman" w:cs="Times New Roman"/>
          <w:iCs/>
          <w:sz w:val="24"/>
          <w:szCs w:val="24"/>
          <w:lang w:val="en-US"/>
        </w:rPr>
      </w:pPr>
      <w:bookmarkStart w:id="0" w:name="_Toc322967809"/>
      <w:bookmarkStart w:id="1" w:name="_Toc206579948"/>
      <w:r w:rsidRPr="00E955F7">
        <w:rPr>
          <w:rFonts w:ascii="Times New Roman" w:hAnsi="Times New Roman" w:cs="Times New Roman"/>
          <w:iCs/>
          <w:sz w:val="24"/>
          <w:szCs w:val="24"/>
          <w:lang w:val="en-US"/>
        </w:rPr>
        <w:lastRenderedPageBreak/>
        <w:t>Introduction</w:t>
      </w:r>
      <w:bookmarkEnd w:id="1"/>
    </w:p>
    <w:p w14:paraId="0DEA4A57" w14:textId="77777777" w:rsidR="004711A5" w:rsidRPr="004711A5" w:rsidRDefault="004711A5" w:rsidP="00E955F7">
      <w:pPr>
        <w:ind w:left="720"/>
        <w:rPr>
          <w:lang w:val="en-US"/>
        </w:rPr>
      </w:pPr>
    </w:p>
    <w:p w14:paraId="38FA868E" w14:textId="77777777" w:rsidR="004711A5" w:rsidRPr="004711A5" w:rsidRDefault="004711A5" w:rsidP="00FD35DF">
      <w:pPr>
        <w:ind w:left="720"/>
        <w:jc w:val="both"/>
        <w:rPr>
          <w:lang w:val="en-US"/>
        </w:rPr>
      </w:pPr>
      <w:r w:rsidRPr="00E955F7">
        <w:rPr>
          <w:lang w:val="en-US"/>
        </w:rPr>
        <w:t>Rwanda is a small, landlocked country in East Africa, home to approximately 13 million people on a small territory. With a GDP of around USD 14 billion and a per capita income of about USD 1,000, Rwanda remains classified as a low-income country. Yet, it has achieved remarkable progress over the past 25 years in terms of economic growth, institutional reform, and social development. It is now widely recognized as a model of stability and structural transformation on the African continent.</w:t>
      </w:r>
    </w:p>
    <w:p w14:paraId="7E08B772" w14:textId="77777777" w:rsidR="004711A5" w:rsidRPr="004711A5" w:rsidRDefault="004711A5" w:rsidP="00FD35DF">
      <w:pPr>
        <w:ind w:left="720"/>
        <w:jc w:val="both"/>
        <w:rPr>
          <w:lang w:val="en-US"/>
        </w:rPr>
      </w:pPr>
    </w:p>
    <w:p w14:paraId="2F7283A8" w14:textId="5B85294D" w:rsidR="004711A5" w:rsidRPr="004711A5" w:rsidRDefault="004711A5" w:rsidP="00FD35DF">
      <w:pPr>
        <w:ind w:left="720"/>
        <w:jc w:val="both"/>
        <w:rPr>
          <w:lang w:val="en-US"/>
        </w:rPr>
      </w:pPr>
      <w:r w:rsidRPr="00E955F7">
        <w:rPr>
          <w:lang w:val="en-US"/>
        </w:rPr>
        <w:t xml:space="preserve">The country’s long-term development agenda is anchored in </w:t>
      </w:r>
      <w:r w:rsidRPr="00E955F7">
        <w:rPr>
          <w:b/>
          <w:lang w:val="en-US"/>
        </w:rPr>
        <w:t>Vision 2050</w:t>
      </w:r>
      <w:r w:rsidRPr="00E955F7">
        <w:rPr>
          <w:lang w:val="en-US"/>
        </w:rPr>
        <w:t xml:space="preserve">, which aims to transition Rwanda to an </w:t>
      </w:r>
      <w:r w:rsidRPr="00E955F7">
        <w:rPr>
          <w:b/>
          <w:lang w:val="en-US"/>
        </w:rPr>
        <w:t>upper-middle-income country by 2035</w:t>
      </w:r>
      <w:r w:rsidRPr="00E955F7">
        <w:rPr>
          <w:lang w:val="en-US"/>
        </w:rPr>
        <w:t xml:space="preserve">, and to </w:t>
      </w:r>
      <w:r w:rsidRPr="00E955F7">
        <w:rPr>
          <w:b/>
          <w:lang w:val="en-US"/>
        </w:rPr>
        <w:t>high-income status by 2050</w:t>
      </w:r>
      <w:r w:rsidRPr="00E955F7">
        <w:rPr>
          <w:lang w:val="en-US"/>
        </w:rPr>
        <w:t xml:space="preserve">, ensuring high quality of life for all. </w:t>
      </w:r>
      <w:r w:rsidRPr="004711A5">
        <w:t xml:space="preserve">Vision 2050 </w:t>
      </w:r>
      <w:r w:rsidRPr="00E955F7">
        <w:rPr>
          <w:lang w:val="en-ZA"/>
        </w:rPr>
        <w:t xml:space="preserve">is built around three key pillars of </w:t>
      </w:r>
      <w:r w:rsidR="00BC2FFB" w:rsidRPr="00E955F7">
        <w:rPr>
          <w:lang w:val="en-ZA"/>
        </w:rPr>
        <w:t>transformation</w:t>
      </w:r>
      <w:r w:rsidR="00BC2FFB" w:rsidRPr="004711A5">
        <w:t xml:space="preserve"> :</w:t>
      </w:r>
    </w:p>
    <w:p w14:paraId="57318598" w14:textId="77777777" w:rsidR="004711A5" w:rsidRPr="00E955F7" w:rsidRDefault="004711A5" w:rsidP="00FD35DF">
      <w:pPr>
        <w:pStyle w:val="Paragraphedeliste"/>
        <w:numPr>
          <w:ilvl w:val="0"/>
          <w:numId w:val="36"/>
        </w:numPr>
        <w:ind w:left="1440"/>
        <w:rPr>
          <w:rFonts w:ascii="Times New Roman" w:eastAsia="Times New Roman" w:hAnsi="Times New Roman"/>
          <w:sz w:val="24"/>
          <w:szCs w:val="24"/>
          <w:lang w:val="en-US" w:eastAsia="fr-FR"/>
        </w:rPr>
      </w:pPr>
      <w:r w:rsidRPr="00E955F7">
        <w:rPr>
          <w:rFonts w:ascii="Times New Roman" w:eastAsia="Times New Roman" w:hAnsi="Times New Roman"/>
          <w:sz w:val="24"/>
          <w:szCs w:val="24"/>
          <w:lang w:val="en-US" w:eastAsia="fr-FR"/>
        </w:rPr>
        <w:t>Driving industrialization and structural transformation of exports;</w:t>
      </w:r>
    </w:p>
    <w:p w14:paraId="21DEEF96" w14:textId="77777777" w:rsidR="004711A5" w:rsidRPr="00E955F7" w:rsidRDefault="004711A5" w:rsidP="00FD35DF">
      <w:pPr>
        <w:pStyle w:val="Paragraphedeliste"/>
        <w:numPr>
          <w:ilvl w:val="0"/>
          <w:numId w:val="36"/>
        </w:numPr>
        <w:ind w:left="1440"/>
        <w:rPr>
          <w:rFonts w:ascii="Times New Roman" w:eastAsia="Times New Roman" w:hAnsi="Times New Roman"/>
          <w:sz w:val="24"/>
          <w:szCs w:val="24"/>
          <w:lang w:val="en-US" w:eastAsia="fr-FR"/>
        </w:rPr>
      </w:pPr>
      <w:r w:rsidRPr="00E955F7">
        <w:rPr>
          <w:rFonts w:ascii="Times New Roman" w:eastAsia="Times New Roman" w:hAnsi="Times New Roman"/>
          <w:sz w:val="24"/>
          <w:szCs w:val="24"/>
          <w:lang w:val="en-US" w:eastAsia="fr-FR"/>
        </w:rPr>
        <w:t>Achieving a green, climate-resilient economy;</w:t>
      </w:r>
    </w:p>
    <w:p w14:paraId="009A1F65" w14:textId="77777777" w:rsidR="004711A5" w:rsidRPr="00E955F7" w:rsidRDefault="004711A5" w:rsidP="00FD35DF">
      <w:pPr>
        <w:pStyle w:val="Paragraphedeliste"/>
        <w:numPr>
          <w:ilvl w:val="0"/>
          <w:numId w:val="36"/>
        </w:numPr>
        <w:ind w:left="1440"/>
        <w:rPr>
          <w:rFonts w:ascii="Times New Roman" w:eastAsia="Times New Roman" w:hAnsi="Times New Roman"/>
          <w:sz w:val="24"/>
          <w:szCs w:val="24"/>
          <w:lang w:val="en-US" w:eastAsia="fr-FR"/>
        </w:rPr>
      </w:pPr>
      <w:r w:rsidRPr="00E955F7">
        <w:rPr>
          <w:rFonts w:ascii="Times New Roman" w:eastAsia="Times New Roman" w:hAnsi="Times New Roman"/>
          <w:sz w:val="24"/>
          <w:szCs w:val="24"/>
          <w:lang w:val="en-US" w:eastAsia="fr-FR"/>
        </w:rPr>
        <w:t>Building a competitive, knowledge-based economy integrated into global value chains.</w:t>
      </w:r>
    </w:p>
    <w:p w14:paraId="762A5733" w14:textId="77777777" w:rsidR="004711A5" w:rsidRPr="00BC2FFB" w:rsidRDefault="004711A5" w:rsidP="00FD35DF">
      <w:pPr>
        <w:ind w:left="720"/>
        <w:jc w:val="both"/>
        <w:rPr>
          <w:lang w:val="en-ZA"/>
        </w:rPr>
      </w:pPr>
      <w:r w:rsidRPr="004711A5">
        <w:rPr>
          <w:lang w:val="en-US"/>
        </w:rPr>
        <w:t xml:space="preserve">To implement this vision, the government has adopted the </w:t>
      </w:r>
      <w:r w:rsidRPr="004711A5">
        <w:rPr>
          <w:b/>
          <w:lang w:val="en-US"/>
        </w:rPr>
        <w:t xml:space="preserve">Second National Strategy for </w:t>
      </w:r>
      <w:r w:rsidRPr="00BC2FFB">
        <w:rPr>
          <w:b/>
          <w:lang w:val="en-ZA"/>
        </w:rPr>
        <w:t>Transformation (NST2, 2024–2029)</w:t>
      </w:r>
      <w:r w:rsidRPr="00BC2FFB">
        <w:rPr>
          <w:lang w:val="en-ZA"/>
        </w:rPr>
        <w:t>, building on progress made under NST1 (2017–2024). NST2 focuses on accelerating economic transformation through:</w:t>
      </w:r>
    </w:p>
    <w:p w14:paraId="51603E45" w14:textId="77777777" w:rsidR="004711A5" w:rsidRPr="00BC2FFB" w:rsidRDefault="004711A5" w:rsidP="00FD35DF">
      <w:pPr>
        <w:numPr>
          <w:ilvl w:val="0"/>
          <w:numId w:val="37"/>
        </w:numPr>
        <w:tabs>
          <w:tab w:val="clear" w:pos="720"/>
          <w:tab w:val="num" w:pos="3600"/>
        </w:tabs>
        <w:ind w:left="1440"/>
        <w:jc w:val="both"/>
        <w:rPr>
          <w:lang w:val="en-ZA"/>
        </w:rPr>
      </w:pPr>
      <w:r w:rsidRPr="00BC2FFB">
        <w:rPr>
          <w:lang w:val="en-ZA"/>
        </w:rPr>
        <w:t>Private sector–led growth;</w:t>
      </w:r>
    </w:p>
    <w:p w14:paraId="7441AD29" w14:textId="77777777" w:rsidR="004711A5" w:rsidRPr="004711A5" w:rsidRDefault="004711A5" w:rsidP="00FD35DF">
      <w:pPr>
        <w:numPr>
          <w:ilvl w:val="0"/>
          <w:numId w:val="37"/>
        </w:numPr>
        <w:tabs>
          <w:tab w:val="clear" w:pos="720"/>
          <w:tab w:val="num" w:pos="3600"/>
        </w:tabs>
        <w:ind w:left="1440"/>
        <w:jc w:val="both"/>
        <w:rPr>
          <w:lang w:val="en-US"/>
        </w:rPr>
      </w:pPr>
      <w:r w:rsidRPr="004711A5">
        <w:rPr>
          <w:lang w:val="en-US"/>
        </w:rPr>
        <w:t>Development of smart and green infrastructure;</w:t>
      </w:r>
    </w:p>
    <w:p w14:paraId="169D04C5" w14:textId="77777777" w:rsidR="004711A5" w:rsidRPr="004711A5" w:rsidRDefault="004711A5" w:rsidP="00FD35DF">
      <w:pPr>
        <w:numPr>
          <w:ilvl w:val="0"/>
          <w:numId w:val="37"/>
        </w:numPr>
        <w:tabs>
          <w:tab w:val="clear" w:pos="720"/>
          <w:tab w:val="num" w:pos="3600"/>
        </w:tabs>
        <w:ind w:left="1440"/>
        <w:jc w:val="both"/>
        <w:rPr>
          <w:lang w:val="en-US"/>
        </w:rPr>
      </w:pPr>
      <w:r w:rsidRPr="004711A5">
        <w:rPr>
          <w:lang w:val="en-US"/>
        </w:rPr>
        <w:t>Greater financial inclusion for households and MSMEs;</w:t>
      </w:r>
    </w:p>
    <w:p w14:paraId="20CCAB3F" w14:textId="77777777" w:rsidR="004711A5" w:rsidRPr="004711A5" w:rsidRDefault="004711A5" w:rsidP="00FD35DF">
      <w:pPr>
        <w:numPr>
          <w:ilvl w:val="0"/>
          <w:numId w:val="37"/>
        </w:numPr>
        <w:tabs>
          <w:tab w:val="clear" w:pos="720"/>
          <w:tab w:val="num" w:pos="3600"/>
        </w:tabs>
        <w:ind w:left="1440"/>
        <w:jc w:val="both"/>
        <w:rPr>
          <w:lang w:val="en-US"/>
        </w:rPr>
      </w:pPr>
      <w:r w:rsidRPr="004711A5">
        <w:rPr>
          <w:lang w:val="en-US"/>
        </w:rPr>
        <w:t>Strong mobilization of domestic and international investment.</w:t>
      </w:r>
    </w:p>
    <w:p w14:paraId="66D253C5" w14:textId="77777777" w:rsidR="004711A5" w:rsidRPr="004711A5" w:rsidRDefault="004711A5" w:rsidP="00FD35DF">
      <w:pPr>
        <w:ind w:left="720"/>
        <w:jc w:val="both"/>
        <w:rPr>
          <w:lang w:val="en-US"/>
        </w:rPr>
      </w:pPr>
    </w:p>
    <w:p w14:paraId="2DE49C23" w14:textId="77777777" w:rsidR="004711A5" w:rsidRPr="004711A5" w:rsidRDefault="004711A5" w:rsidP="00FD35DF">
      <w:pPr>
        <w:ind w:left="720"/>
        <w:jc w:val="both"/>
        <w:rPr>
          <w:lang w:val="en-US"/>
        </w:rPr>
      </w:pPr>
      <w:r w:rsidRPr="004711A5">
        <w:rPr>
          <w:lang w:val="en-US"/>
        </w:rPr>
        <w:t>It targets an ambitious average annual GDP growth rate of 9.3% over the next five years, driven by increased domestic savings, exports, productivity, and private investment. This path also relies on strengthening human capital, digitalizing the economy, and creating a vibrant innovation ecosystem.</w:t>
      </w:r>
    </w:p>
    <w:p w14:paraId="3646AFF3" w14:textId="77777777" w:rsidR="004711A5" w:rsidRPr="004711A5" w:rsidRDefault="004711A5" w:rsidP="00FD35DF">
      <w:pPr>
        <w:ind w:left="720"/>
        <w:jc w:val="both"/>
        <w:rPr>
          <w:lang w:val="en-US"/>
        </w:rPr>
      </w:pPr>
    </w:p>
    <w:p w14:paraId="50D8D0D2" w14:textId="77777777" w:rsidR="004711A5" w:rsidRPr="004711A5" w:rsidRDefault="004711A5" w:rsidP="00FD35DF">
      <w:pPr>
        <w:ind w:left="720"/>
        <w:jc w:val="both"/>
        <w:rPr>
          <w:lang w:val="en-US"/>
        </w:rPr>
      </w:pPr>
      <w:r w:rsidRPr="004711A5">
        <w:rPr>
          <w:lang w:val="en-US"/>
        </w:rPr>
        <w:t>However, these ambitions are pursued in a context of significant climate vulnerability. While contributing less than 0.0003% of global emissions, Rwanda is highly exposed to physical climate risks — including droughts, floods, and landslides — due to its reliance on rainfed agriculture, hydropower, and sensitive watershed ecosystems. The country ranks 125th out of 182 on the ND-GAIN Climate Resilience Index, highlighting the urgency of promoting low-carbon, inclusive, and resilient growth, a priority explicitly integrated into NST2.</w:t>
      </w:r>
    </w:p>
    <w:p w14:paraId="27A60885" w14:textId="77777777" w:rsidR="004711A5" w:rsidRPr="004711A5" w:rsidRDefault="004711A5" w:rsidP="00FD35DF">
      <w:pPr>
        <w:ind w:left="720"/>
        <w:jc w:val="both"/>
        <w:rPr>
          <w:lang w:val="en-US"/>
        </w:rPr>
      </w:pPr>
    </w:p>
    <w:p w14:paraId="19D4C87A" w14:textId="3628584B" w:rsidR="004711A5" w:rsidRPr="004711A5" w:rsidRDefault="004711A5" w:rsidP="00FD35DF">
      <w:pPr>
        <w:ind w:left="720"/>
        <w:jc w:val="both"/>
        <w:rPr>
          <w:lang w:val="en-US"/>
        </w:rPr>
      </w:pPr>
      <w:r w:rsidRPr="00E955F7">
        <w:rPr>
          <w:lang w:val="en-US"/>
        </w:rPr>
        <w:t xml:space="preserve">As Rwanda’s sovereign wealth fund, the </w:t>
      </w:r>
      <w:proofErr w:type="spellStart"/>
      <w:r w:rsidRPr="00E955F7">
        <w:rPr>
          <w:lang w:val="en-US"/>
        </w:rPr>
        <w:t>Agaciro</w:t>
      </w:r>
      <w:proofErr w:type="spellEnd"/>
      <w:r w:rsidRPr="00E955F7">
        <w:rPr>
          <w:lang w:val="en-US"/>
        </w:rPr>
        <w:t xml:space="preserve"> Development Fund is expected to play an increasingly strategic role in supporting the country’s long-term development ambitions, including enhancing financial self-reliance and enabling public investment through effective asset management. </w:t>
      </w:r>
    </w:p>
    <w:p w14:paraId="15EB8BE0" w14:textId="77777777" w:rsidR="004711A5" w:rsidRPr="004711A5" w:rsidRDefault="004711A5" w:rsidP="00E955F7">
      <w:pPr>
        <w:ind w:left="720"/>
        <w:rPr>
          <w:lang w:val="en-US"/>
        </w:rPr>
      </w:pPr>
    </w:p>
    <w:p w14:paraId="3E5E9D23" w14:textId="77777777" w:rsidR="004711A5" w:rsidRPr="00E955F7" w:rsidRDefault="004711A5" w:rsidP="00E955F7">
      <w:pPr>
        <w:ind w:left="720"/>
        <w:jc w:val="both"/>
        <w:rPr>
          <w:lang w:val="en-US"/>
        </w:rPr>
      </w:pPr>
      <w:r w:rsidRPr="00E955F7">
        <w:rPr>
          <w:lang w:val="en-US"/>
        </w:rPr>
        <w:t xml:space="preserve">AFD is considering a potential financial partnership with </w:t>
      </w:r>
      <w:proofErr w:type="spellStart"/>
      <w:r w:rsidRPr="00E955F7">
        <w:rPr>
          <w:lang w:val="en-US"/>
        </w:rPr>
        <w:t>Agaciro</w:t>
      </w:r>
      <w:proofErr w:type="spellEnd"/>
      <w:r w:rsidRPr="00E955F7">
        <w:rPr>
          <w:lang w:val="en-US"/>
        </w:rPr>
        <w:t>, Rwanda’s Sovereign Wealth Fund, combining a credit facility with targeted technical assistance. To assess the feasibility and structure of such a program, AFD intends to fund a two-part study:</w:t>
      </w:r>
    </w:p>
    <w:p w14:paraId="4EBF0E72" w14:textId="77777777" w:rsidR="004711A5" w:rsidRPr="00E955F7" w:rsidRDefault="004711A5" w:rsidP="00E955F7">
      <w:pPr>
        <w:ind w:left="720"/>
        <w:jc w:val="both"/>
        <w:rPr>
          <w:lang w:val="en-US"/>
        </w:rPr>
      </w:pPr>
    </w:p>
    <w:p w14:paraId="129A173D" w14:textId="709308F6" w:rsidR="004711A5" w:rsidRPr="00E955F7" w:rsidRDefault="004711A5" w:rsidP="00E955F7">
      <w:pPr>
        <w:pStyle w:val="Paragraphedeliste"/>
        <w:numPr>
          <w:ilvl w:val="0"/>
          <w:numId w:val="20"/>
        </w:numPr>
        <w:ind w:left="1440"/>
        <w:rPr>
          <w:rFonts w:ascii="Times New Roman" w:hAnsi="Times New Roman"/>
          <w:sz w:val="24"/>
          <w:szCs w:val="24"/>
          <w:lang w:val="en-US"/>
        </w:rPr>
      </w:pPr>
      <w:r w:rsidRPr="00E955F7">
        <w:rPr>
          <w:rFonts w:ascii="Times New Roman" w:hAnsi="Times New Roman"/>
          <w:sz w:val="24"/>
          <w:szCs w:val="24"/>
          <w:lang w:val="en-US"/>
        </w:rPr>
        <w:lastRenderedPageBreak/>
        <w:t>A strategic economic and financial model to assess the Fund’s financial viability. This financial model will be developed to analyze the financial performance of the Fund over a projected</w:t>
      </w:r>
      <w:r w:rsidR="00CB6B4A">
        <w:rPr>
          <w:rFonts w:ascii="Times New Roman" w:hAnsi="Times New Roman"/>
          <w:sz w:val="24"/>
          <w:szCs w:val="24"/>
          <w:lang w:val="en-US"/>
        </w:rPr>
        <w:t xml:space="preserve"> horizon</w:t>
      </w:r>
      <w:r w:rsidRPr="00E955F7">
        <w:rPr>
          <w:rFonts w:ascii="Times New Roman" w:hAnsi="Times New Roman"/>
          <w:sz w:val="24"/>
          <w:szCs w:val="24"/>
          <w:lang w:val="en-US"/>
        </w:rPr>
        <w:t xml:space="preserve"> of 15-year minimum. The model is designed to comprehensively capture and represent the investment activities of the Fund and demonstrate its overall financial viability as a going concern.</w:t>
      </w:r>
    </w:p>
    <w:p w14:paraId="3C7A413F" w14:textId="11EE36FB" w:rsidR="004711A5" w:rsidRPr="00E955F7" w:rsidRDefault="004711A5" w:rsidP="00E955F7">
      <w:pPr>
        <w:pStyle w:val="Paragraphedeliste"/>
        <w:numPr>
          <w:ilvl w:val="0"/>
          <w:numId w:val="20"/>
        </w:numPr>
        <w:ind w:left="1440"/>
        <w:rPr>
          <w:rFonts w:ascii="Times New Roman" w:hAnsi="Times New Roman"/>
          <w:sz w:val="24"/>
          <w:szCs w:val="24"/>
          <w:lang w:val="en-US"/>
        </w:rPr>
      </w:pPr>
      <w:r w:rsidRPr="00E955F7">
        <w:rPr>
          <w:rFonts w:ascii="Times New Roman" w:hAnsi="Times New Roman"/>
          <w:sz w:val="24"/>
          <w:szCs w:val="24"/>
          <w:lang w:val="en-US"/>
        </w:rPr>
        <w:t xml:space="preserve">A diagnostic review of </w:t>
      </w:r>
      <w:proofErr w:type="spellStart"/>
      <w:r w:rsidRPr="00E955F7">
        <w:rPr>
          <w:rFonts w:ascii="Times New Roman" w:hAnsi="Times New Roman"/>
          <w:sz w:val="24"/>
          <w:szCs w:val="24"/>
          <w:lang w:val="en-US"/>
        </w:rPr>
        <w:t>Agaciro’s</w:t>
      </w:r>
      <w:proofErr w:type="spellEnd"/>
      <w:r w:rsidRPr="00E955F7">
        <w:rPr>
          <w:rFonts w:ascii="Times New Roman" w:hAnsi="Times New Roman"/>
          <w:sz w:val="24"/>
          <w:szCs w:val="24"/>
          <w:lang w:val="en-US"/>
        </w:rPr>
        <w:t xml:space="preserve"> institutional and operational frameworks to identify strategic, financial, and capacity-building needs, and to inform the design of both the credit line eligibility criteria and the accompanying technical assistance (TA) program.</w:t>
      </w:r>
      <w:r w:rsidRPr="00E955F7">
        <w:rPr>
          <w:rFonts w:ascii="Times New Roman" w:hAnsi="Times New Roman"/>
          <w:sz w:val="24"/>
          <w:szCs w:val="24"/>
          <w:lang w:val="en-US"/>
        </w:rPr>
        <w:br/>
      </w:r>
    </w:p>
    <w:p w14:paraId="36EC4C92" w14:textId="4193E278" w:rsidR="00BB118B" w:rsidRPr="00E955F7" w:rsidRDefault="00BB118B" w:rsidP="00BC2FFB">
      <w:pPr>
        <w:pStyle w:val="Titre1"/>
        <w:ind w:left="2782" w:hanging="1211"/>
        <w:rPr>
          <w:rFonts w:ascii="Times New Roman" w:hAnsi="Times New Roman" w:cs="Times New Roman"/>
          <w:i/>
          <w:sz w:val="24"/>
          <w:szCs w:val="24"/>
          <w:lang w:val="en-US"/>
        </w:rPr>
      </w:pPr>
      <w:bookmarkStart w:id="2" w:name="_Toc206579949"/>
      <w:r w:rsidRPr="00E955F7">
        <w:rPr>
          <w:rFonts w:ascii="Times New Roman" w:hAnsi="Times New Roman" w:cs="Times New Roman"/>
          <w:sz w:val="24"/>
          <w:szCs w:val="24"/>
          <w:lang w:val="en-US"/>
        </w:rPr>
        <w:t>Context</w:t>
      </w:r>
      <w:bookmarkEnd w:id="0"/>
      <w:r w:rsidR="00AC4494" w:rsidRPr="00E955F7">
        <w:rPr>
          <w:rFonts w:ascii="Times New Roman" w:hAnsi="Times New Roman" w:cs="Times New Roman"/>
          <w:sz w:val="24"/>
          <w:szCs w:val="24"/>
          <w:lang w:val="en-US"/>
        </w:rPr>
        <w:t xml:space="preserve"> and purpose of the engagement</w:t>
      </w:r>
      <w:bookmarkEnd w:id="2"/>
    </w:p>
    <w:p w14:paraId="22424832" w14:textId="77777777" w:rsidR="00BB118B" w:rsidRPr="00E955F7" w:rsidRDefault="00BB118B" w:rsidP="00BC2FFB">
      <w:pPr>
        <w:ind w:left="720"/>
        <w:jc w:val="both"/>
        <w:rPr>
          <w:lang w:val="en-US"/>
        </w:rPr>
      </w:pPr>
      <w:bookmarkStart w:id="3" w:name="_Toc322957279"/>
    </w:p>
    <w:p w14:paraId="236C402D" w14:textId="2F42EBDC" w:rsidR="0033671B" w:rsidRPr="00E955F7" w:rsidRDefault="0033671B" w:rsidP="00E955F7">
      <w:pPr>
        <w:pStyle w:val="Titre2"/>
        <w:tabs>
          <w:tab w:val="num" w:pos="3950"/>
        </w:tabs>
        <w:ind w:left="1790"/>
        <w:rPr>
          <w:rFonts w:ascii="Times New Roman" w:hAnsi="Times New Roman" w:cs="Times New Roman"/>
          <w:sz w:val="24"/>
          <w:szCs w:val="24"/>
          <w:lang w:val="en-US"/>
        </w:rPr>
      </w:pPr>
      <w:bookmarkStart w:id="4" w:name="_Toc205566468"/>
      <w:bookmarkStart w:id="5" w:name="_Toc205566806"/>
      <w:bookmarkStart w:id="6" w:name="_Toc205566831"/>
      <w:bookmarkStart w:id="7" w:name="_Toc205566469"/>
      <w:bookmarkStart w:id="8" w:name="_Toc205566807"/>
      <w:bookmarkStart w:id="9" w:name="_Toc205566832"/>
      <w:bookmarkStart w:id="10" w:name="_Toc205566470"/>
      <w:bookmarkStart w:id="11" w:name="_Toc205566808"/>
      <w:bookmarkStart w:id="12" w:name="_Toc205566833"/>
      <w:bookmarkStart w:id="13" w:name="_Toc205566471"/>
      <w:bookmarkStart w:id="14" w:name="_Toc205566809"/>
      <w:bookmarkStart w:id="15" w:name="_Toc205566834"/>
      <w:bookmarkStart w:id="16" w:name="_Toc205566472"/>
      <w:bookmarkStart w:id="17" w:name="_Toc205566810"/>
      <w:bookmarkStart w:id="18" w:name="_Toc205566835"/>
      <w:bookmarkStart w:id="19" w:name="_Toc198501404"/>
      <w:bookmarkStart w:id="20" w:name="_Toc20657995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Pr="00E955F7">
        <w:rPr>
          <w:rFonts w:ascii="Times New Roman" w:hAnsi="Times New Roman" w:cs="Times New Roman"/>
          <w:sz w:val="24"/>
          <w:szCs w:val="24"/>
          <w:lang w:val="en-US"/>
        </w:rPr>
        <w:t xml:space="preserve">Presentation of </w:t>
      </w:r>
      <w:proofErr w:type="spellStart"/>
      <w:r w:rsidRPr="00E955F7">
        <w:rPr>
          <w:rFonts w:ascii="Times New Roman" w:hAnsi="Times New Roman" w:cs="Times New Roman"/>
          <w:sz w:val="24"/>
          <w:szCs w:val="24"/>
          <w:lang w:val="en-US"/>
        </w:rPr>
        <w:t>Agaciro</w:t>
      </w:r>
      <w:bookmarkEnd w:id="20"/>
      <w:proofErr w:type="spellEnd"/>
      <w:r w:rsidRPr="00E955F7">
        <w:rPr>
          <w:rFonts w:ascii="Times New Roman" w:hAnsi="Times New Roman" w:cs="Times New Roman"/>
          <w:sz w:val="24"/>
          <w:szCs w:val="24"/>
          <w:lang w:val="en-US"/>
        </w:rPr>
        <w:t xml:space="preserve"> </w:t>
      </w:r>
      <w:bookmarkEnd w:id="19"/>
    </w:p>
    <w:p w14:paraId="0AE6CDA0" w14:textId="77777777" w:rsidR="0033671B" w:rsidRPr="00E955F7" w:rsidRDefault="0033671B" w:rsidP="00E955F7">
      <w:pPr>
        <w:ind w:left="720"/>
        <w:jc w:val="both"/>
        <w:rPr>
          <w:lang w:val="en-US"/>
        </w:rPr>
      </w:pPr>
    </w:p>
    <w:p w14:paraId="23352555" w14:textId="77777777" w:rsidR="004711A5" w:rsidRPr="00A02FA8" w:rsidRDefault="004711A5" w:rsidP="004711A5">
      <w:pPr>
        <w:ind w:left="720"/>
        <w:jc w:val="both"/>
        <w:rPr>
          <w:lang w:val="en-US"/>
        </w:rPr>
      </w:pPr>
      <w:proofErr w:type="spellStart"/>
      <w:r w:rsidRPr="00A02FA8">
        <w:rPr>
          <w:lang w:val="en-US"/>
        </w:rPr>
        <w:t>Agaciro</w:t>
      </w:r>
      <w:proofErr w:type="spellEnd"/>
      <w:r w:rsidRPr="00A02FA8">
        <w:rPr>
          <w:lang w:val="en-US"/>
        </w:rPr>
        <w:t xml:space="preserve"> Development Fund (</w:t>
      </w:r>
      <w:proofErr w:type="spellStart"/>
      <w:r w:rsidRPr="00A02FA8">
        <w:rPr>
          <w:lang w:val="en-US"/>
        </w:rPr>
        <w:t>Agaciro</w:t>
      </w:r>
      <w:proofErr w:type="spellEnd"/>
      <w:r w:rsidRPr="00A02FA8">
        <w:rPr>
          <w:lang w:val="en-US"/>
        </w:rPr>
        <w:t xml:space="preserve">), Rwanda’s Sovereign Wealth Fund was established in 2011 to promote financial self-reliance and economic resilience. It reflects the Rwandan government's ambition to reduce reliance on international funding for development. Initially funded by voluntary contributions from citizens, businesses, and the diaspora, </w:t>
      </w:r>
      <w:proofErr w:type="spellStart"/>
      <w:r w:rsidRPr="00A02FA8">
        <w:rPr>
          <w:lang w:val="en-US"/>
        </w:rPr>
        <w:t>Agaciro</w:t>
      </w:r>
      <w:proofErr w:type="spellEnd"/>
      <w:r w:rsidRPr="00A02FA8">
        <w:rPr>
          <w:lang w:val="en-US"/>
        </w:rPr>
        <w:t xml:space="preserve"> transitioned into an investment-driven model in 2020 to sustainably grow national wealth. The shift moved away from citizen contributions to an asset-based growth strategy. Consequently, the Rwandan government transferred State-Owned Enterprises (SOEs) and privatization revenues to </w:t>
      </w:r>
      <w:proofErr w:type="spellStart"/>
      <w:r w:rsidRPr="00A02FA8">
        <w:rPr>
          <w:lang w:val="en-US"/>
        </w:rPr>
        <w:t>Agaciro</w:t>
      </w:r>
      <w:proofErr w:type="spellEnd"/>
      <w:r w:rsidRPr="00A02FA8">
        <w:rPr>
          <w:lang w:val="en-US"/>
        </w:rPr>
        <w:t>.</w:t>
      </w:r>
    </w:p>
    <w:p w14:paraId="48E5EA6C" w14:textId="77777777" w:rsidR="004711A5" w:rsidRPr="00A02FA8" w:rsidRDefault="004711A5" w:rsidP="004711A5">
      <w:pPr>
        <w:ind w:left="720"/>
        <w:jc w:val="both"/>
        <w:rPr>
          <w:lang w:val="en-US"/>
        </w:rPr>
      </w:pPr>
    </w:p>
    <w:p w14:paraId="375F0215" w14:textId="77777777" w:rsidR="004711A5" w:rsidRPr="00A02FA8" w:rsidRDefault="004711A5" w:rsidP="004711A5">
      <w:pPr>
        <w:ind w:left="720"/>
        <w:jc w:val="both"/>
        <w:rPr>
          <w:lang w:val="en-US"/>
        </w:rPr>
      </w:pPr>
      <w:r w:rsidRPr="00A02FA8">
        <w:rPr>
          <w:lang w:val="en-US"/>
        </w:rPr>
        <w:t xml:space="preserve">In 2023, </w:t>
      </w:r>
      <w:proofErr w:type="spellStart"/>
      <w:r w:rsidRPr="00A02FA8">
        <w:rPr>
          <w:lang w:val="en-US"/>
        </w:rPr>
        <w:t>Agaciro</w:t>
      </w:r>
      <w:proofErr w:type="spellEnd"/>
      <w:r w:rsidRPr="00A02FA8">
        <w:rPr>
          <w:lang w:val="en-US"/>
        </w:rPr>
        <w:t xml:space="preserve"> began working on a new Investment Policy Statement (IPS) to redefine the fund’s vision, mission, and </w:t>
      </w:r>
      <w:r w:rsidRPr="00A02FA8">
        <w:rPr>
          <w:lang w:val="en-ZA"/>
        </w:rPr>
        <w:t xml:space="preserve">long-term strategic orientation. </w:t>
      </w:r>
      <w:r w:rsidRPr="00A02FA8">
        <w:rPr>
          <w:lang w:val="en-US"/>
        </w:rPr>
        <w:t xml:space="preserve">While the process was temporarily put on hold, it is expected to resume and be finalized by the end of 2025. Major governance and organizational frameworks were revised to align with global best practices for sovereign wealth funds. </w:t>
      </w:r>
      <w:proofErr w:type="spellStart"/>
      <w:r w:rsidRPr="00A02FA8">
        <w:rPr>
          <w:lang w:val="en-US"/>
        </w:rPr>
        <w:t>Agaciro’s</w:t>
      </w:r>
      <w:proofErr w:type="spellEnd"/>
      <w:r w:rsidRPr="00A02FA8">
        <w:rPr>
          <w:lang w:val="en-US"/>
        </w:rPr>
        <w:t xml:space="preserve"> mandate is to invest in the long term to support the country’s economic development and act as a buffer against economic shocks.</w:t>
      </w:r>
    </w:p>
    <w:p w14:paraId="52DFB918" w14:textId="364F6472" w:rsidR="004711A5" w:rsidRPr="00A02FA8" w:rsidRDefault="004711A5" w:rsidP="004711A5">
      <w:pPr>
        <w:ind w:left="720"/>
        <w:jc w:val="both"/>
        <w:rPr>
          <w:lang w:val="en-US"/>
        </w:rPr>
      </w:pPr>
      <w:r w:rsidRPr="00A02FA8">
        <w:rPr>
          <w:lang w:val="en-US"/>
        </w:rPr>
        <w:t>The fund currently holds equity positions in 29 different companies, representing approximately 70% of its total portfolio,</w:t>
      </w:r>
      <w:bookmarkStart w:id="21" w:name="_Toc322967813"/>
      <w:r w:rsidRPr="00A02FA8">
        <w:rPr>
          <w:lang w:val="en-US"/>
        </w:rPr>
        <w:t xml:space="preserve"> with the remaining assets allocated to fixed income instruments. </w:t>
      </w:r>
      <w:proofErr w:type="spellStart"/>
      <w:r w:rsidRPr="00A02FA8">
        <w:rPr>
          <w:lang w:val="en-US"/>
        </w:rPr>
        <w:t>Agaciro</w:t>
      </w:r>
      <w:proofErr w:type="spellEnd"/>
      <w:r w:rsidRPr="00A02FA8">
        <w:rPr>
          <w:lang w:val="en-US"/>
        </w:rPr>
        <w:t xml:space="preserve"> typically acts as a minority shareholder and may also provide shareholder loans and guarantees to its investee companies. To enhance its operational capacity, </w:t>
      </w:r>
      <w:proofErr w:type="spellStart"/>
      <w:r w:rsidRPr="00A02FA8">
        <w:rPr>
          <w:lang w:val="en-US"/>
        </w:rPr>
        <w:t>Agaciro</w:t>
      </w:r>
      <w:proofErr w:type="spellEnd"/>
      <w:r w:rsidRPr="00A02FA8">
        <w:rPr>
          <w:lang w:val="en-US"/>
        </w:rPr>
        <w:t xml:space="preserve"> is in the process of strengthening its team and is working with a professional recruitment firm to attract and onboard qualified personnel.</w:t>
      </w:r>
    </w:p>
    <w:p w14:paraId="6BCCA2E9" w14:textId="77777777" w:rsidR="004711A5" w:rsidRPr="00A02FA8" w:rsidRDefault="004711A5" w:rsidP="004711A5">
      <w:pPr>
        <w:ind w:left="720"/>
        <w:jc w:val="both"/>
        <w:rPr>
          <w:lang w:val="en-US"/>
        </w:rPr>
      </w:pPr>
    </w:p>
    <w:p w14:paraId="3C227FA2" w14:textId="77777777" w:rsidR="0033671B" w:rsidRPr="008D5A72" w:rsidRDefault="0033671B" w:rsidP="008D5A72">
      <w:pPr>
        <w:pStyle w:val="Titre2"/>
        <w:tabs>
          <w:tab w:val="num" w:pos="3230"/>
        </w:tabs>
        <w:ind w:left="1790"/>
        <w:rPr>
          <w:rFonts w:ascii="Times New Roman" w:hAnsi="Times New Roman" w:cs="Times New Roman"/>
          <w:sz w:val="24"/>
          <w:szCs w:val="24"/>
          <w:lang w:val="en-ZA"/>
        </w:rPr>
      </w:pPr>
      <w:bookmarkStart w:id="22" w:name="_Toc205566474"/>
      <w:bookmarkStart w:id="23" w:name="_Toc205566812"/>
      <w:bookmarkStart w:id="24" w:name="_Toc205566837"/>
      <w:bookmarkStart w:id="25" w:name="_Toc205566475"/>
      <w:bookmarkStart w:id="26" w:name="_Toc205566813"/>
      <w:bookmarkStart w:id="27" w:name="_Toc205566838"/>
      <w:bookmarkStart w:id="28" w:name="_Toc205566476"/>
      <w:bookmarkStart w:id="29" w:name="_Toc205566814"/>
      <w:bookmarkStart w:id="30" w:name="_Toc205566839"/>
      <w:bookmarkStart w:id="31" w:name="_Toc198501405"/>
      <w:bookmarkStart w:id="32" w:name="_Toc206579951"/>
      <w:bookmarkEnd w:id="22"/>
      <w:bookmarkEnd w:id="23"/>
      <w:bookmarkEnd w:id="24"/>
      <w:bookmarkEnd w:id="25"/>
      <w:bookmarkEnd w:id="26"/>
      <w:bookmarkEnd w:id="27"/>
      <w:bookmarkEnd w:id="28"/>
      <w:bookmarkEnd w:id="29"/>
      <w:bookmarkEnd w:id="30"/>
      <w:r w:rsidRPr="008D5A72">
        <w:rPr>
          <w:rFonts w:ascii="Times New Roman" w:hAnsi="Times New Roman" w:cs="Times New Roman"/>
          <w:sz w:val="24"/>
          <w:szCs w:val="24"/>
          <w:lang w:val="en-ZA"/>
        </w:rPr>
        <w:t>AFD's intervention</w:t>
      </w:r>
      <w:bookmarkEnd w:id="31"/>
      <w:r w:rsidRPr="008D5A72">
        <w:rPr>
          <w:rFonts w:ascii="Times New Roman" w:hAnsi="Times New Roman" w:cs="Times New Roman"/>
          <w:sz w:val="24"/>
          <w:szCs w:val="24"/>
          <w:lang w:val="en-ZA"/>
        </w:rPr>
        <w:t>/strategy in Rwanda</w:t>
      </w:r>
      <w:bookmarkEnd w:id="32"/>
    </w:p>
    <w:p w14:paraId="12874F28" w14:textId="77777777" w:rsidR="0033671B" w:rsidRPr="008D5A72" w:rsidRDefault="0033671B" w:rsidP="008D5A72">
      <w:pPr>
        <w:ind w:left="720"/>
        <w:jc w:val="both"/>
        <w:rPr>
          <w:lang w:val="en-ZA"/>
        </w:rPr>
      </w:pPr>
    </w:p>
    <w:p w14:paraId="5A53EEE7" w14:textId="77777777" w:rsidR="004711A5" w:rsidRDefault="004711A5" w:rsidP="004711A5">
      <w:pPr>
        <w:ind w:left="720"/>
        <w:jc w:val="both"/>
        <w:rPr>
          <w:lang w:val="en-US"/>
        </w:rPr>
      </w:pPr>
      <w:r w:rsidRPr="008D5A72">
        <w:rPr>
          <w:lang w:val="en-US"/>
        </w:rPr>
        <w:t>The French Development Agency (AFD) has been a key partner in Rwanda’s development agenda, supporting the country’s ambition to transition toward a resilient, inclusive, and climate-aligned growth model. AFD’s engagement is anchored in Rwanda’s long-term development frameworks, including Vision 2050 and the National Strategy for Transformation (NST1 and NST2).</w:t>
      </w:r>
    </w:p>
    <w:p w14:paraId="5C7749F4" w14:textId="77777777" w:rsidR="006004A4" w:rsidRPr="008D5A72" w:rsidRDefault="006004A4" w:rsidP="008D5A72">
      <w:pPr>
        <w:ind w:left="720"/>
        <w:jc w:val="both"/>
        <w:rPr>
          <w:lang w:val="en-US"/>
        </w:rPr>
      </w:pPr>
    </w:p>
    <w:p w14:paraId="6100FE2A" w14:textId="77777777" w:rsidR="004711A5" w:rsidRPr="008D5A72" w:rsidRDefault="004711A5" w:rsidP="008D5A72">
      <w:pPr>
        <w:ind w:left="720"/>
        <w:jc w:val="both"/>
        <w:rPr>
          <w:lang w:val="en-US"/>
        </w:rPr>
      </w:pPr>
      <w:r w:rsidRPr="008D5A72">
        <w:rPr>
          <w:lang w:val="en-US"/>
        </w:rPr>
        <w:lastRenderedPageBreak/>
        <w:t>In 2024, following bilateral consultations with the Government of Rwanda, AFD formalized its strategic focus around three priority sectors: Health, Education, and Climate. At the core of its climate strategy is support to Rwandan authorities in aligning both public and private financial flows with the objectives of the Paris Agreement.</w:t>
      </w:r>
    </w:p>
    <w:p w14:paraId="7E2380D3" w14:textId="77777777" w:rsidR="004711A5" w:rsidRDefault="004711A5" w:rsidP="008D5A72">
      <w:pPr>
        <w:ind w:left="720"/>
        <w:jc w:val="both"/>
        <w:rPr>
          <w:lang w:val="en-US"/>
        </w:rPr>
      </w:pPr>
      <w:r w:rsidRPr="008D5A72">
        <w:rPr>
          <w:lang w:val="en-US"/>
        </w:rPr>
        <w:t>This ambition has materialized through a series of transformative initiatives, including the financing of Ireme Invest, the launch of the Green Public Financial Management (Green PFM) program—under which AFD supported the Central Bank of Rwanda in assessing climate-related financial risks and developing climate reporting structures—and partnerships with key financial institutions such as the Bank of Kigali and the Development Bank of Rwanda (BRD) to scale up sustainable and climate-aligned finance.</w:t>
      </w:r>
    </w:p>
    <w:p w14:paraId="24F9A282" w14:textId="77777777" w:rsidR="008D5A72" w:rsidRPr="008D5A72" w:rsidRDefault="008D5A72" w:rsidP="008D5A72">
      <w:pPr>
        <w:ind w:left="720"/>
        <w:jc w:val="both"/>
        <w:rPr>
          <w:lang w:val="en-US"/>
        </w:rPr>
      </w:pPr>
    </w:p>
    <w:p w14:paraId="1D26A91F" w14:textId="77777777" w:rsidR="0033671B" w:rsidRPr="008D5A72" w:rsidRDefault="0033671B" w:rsidP="008D5A72">
      <w:pPr>
        <w:ind w:left="720"/>
        <w:jc w:val="both"/>
        <w:rPr>
          <w:lang w:val="en-US"/>
        </w:rPr>
      </w:pPr>
      <w:r w:rsidRPr="008D5A72">
        <w:rPr>
          <w:lang w:val="en-US"/>
        </w:rPr>
        <w:t xml:space="preserve">This project aligns with the first pillar by supporting the State in the sustainable management of part of its portfolio of public companies and holdings through </w:t>
      </w:r>
      <w:proofErr w:type="spellStart"/>
      <w:r w:rsidRPr="008D5A72">
        <w:rPr>
          <w:lang w:val="en-US"/>
        </w:rPr>
        <w:t>Agaciro</w:t>
      </w:r>
      <w:proofErr w:type="spellEnd"/>
      <w:r w:rsidRPr="008D5A72">
        <w:rPr>
          <w:lang w:val="en-US"/>
        </w:rPr>
        <w:t>. It aims to strengthen the governance of state-owned assets and finance the low-carbon transition of this portfolio by equipping the sovereign wealth fund with the necessary tools and resources to better integrate climate considerations into its operations.</w:t>
      </w:r>
    </w:p>
    <w:p w14:paraId="6F32C53A" w14:textId="77777777" w:rsidR="0033671B" w:rsidRPr="008D5A72" w:rsidRDefault="0033671B" w:rsidP="008D5A72">
      <w:pPr>
        <w:ind w:left="720"/>
        <w:jc w:val="both"/>
        <w:rPr>
          <w:lang w:val="en-US"/>
        </w:rPr>
      </w:pPr>
    </w:p>
    <w:p w14:paraId="09C54067" w14:textId="77777777" w:rsidR="0033671B" w:rsidRPr="008D5A72" w:rsidRDefault="0033671B" w:rsidP="00BC2FFB">
      <w:pPr>
        <w:pStyle w:val="Titre1"/>
        <w:ind w:left="1440"/>
        <w:rPr>
          <w:rFonts w:ascii="Times New Roman" w:hAnsi="Times New Roman" w:cs="Times New Roman"/>
          <w:sz w:val="24"/>
          <w:szCs w:val="24"/>
          <w:lang w:val="en-US"/>
        </w:rPr>
      </w:pPr>
      <w:bookmarkStart w:id="33" w:name="_Toc20853205"/>
      <w:bookmarkStart w:id="34" w:name="_Toc20853424"/>
      <w:bookmarkStart w:id="35" w:name="_Toc20862870"/>
      <w:bookmarkStart w:id="36" w:name="_Toc20853206"/>
      <w:bookmarkStart w:id="37" w:name="_Toc20853425"/>
      <w:bookmarkStart w:id="38" w:name="_Toc20862871"/>
      <w:bookmarkStart w:id="39" w:name="_Toc20853207"/>
      <w:bookmarkStart w:id="40" w:name="_Toc20853426"/>
      <w:bookmarkStart w:id="41" w:name="_Toc20862872"/>
      <w:bookmarkStart w:id="42" w:name="_Toc20853208"/>
      <w:bookmarkStart w:id="43" w:name="_Toc20853427"/>
      <w:bookmarkStart w:id="44" w:name="_Toc20862873"/>
      <w:bookmarkStart w:id="45" w:name="_Toc20853210"/>
      <w:bookmarkStart w:id="46" w:name="_Toc20853429"/>
      <w:bookmarkStart w:id="47" w:name="_Toc20862875"/>
      <w:bookmarkStart w:id="48" w:name="_Toc20853212"/>
      <w:bookmarkStart w:id="49" w:name="_Toc20853431"/>
      <w:bookmarkStart w:id="50" w:name="_Toc20862877"/>
      <w:bookmarkStart w:id="51" w:name="_Toc20853213"/>
      <w:bookmarkStart w:id="52" w:name="_Toc20853432"/>
      <w:bookmarkStart w:id="53" w:name="_Toc20862878"/>
      <w:bookmarkStart w:id="54" w:name="_Toc20853214"/>
      <w:bookmarkStart w:id="55" w:name="_Toc20853433"/>
      <w:bookmarkStart w:id="56" w:name="_Toc20862879"/>
      <w:bookmarkStart w:id="57" w:name="_Toc20853215"/>
      <w:bookmarkStart w:id="58" w:name="_Toc20853434"/>
      <w:bookmarkStart w:id="59" w:name="_Toc20862880"/>
      <w:bookmarkStart w:id="60" w:name="_Toc20853216"/>
      <w:bookmarkStart w:id="61" w:name="_Toc20853435"/>
      <w:bookmarkStart w:id="62" w:name="_Toc20862881"/>
      <w:bookmarkStart w:id="63" w:name="_Toc20853217"/>
      <w:bookmarkStart w:id="64" w:name="_Toc20853436"/>
      <w:bookmarkStart w:id="65" w:name="_Toc20862882"/>
      <w:bookmarkStart w:id="66" w:name="_Toc20853218"/>
      <w:bookmarkStart w:id="67" w:name="_Toc20853437"/>
      <w:bookmarkStart w:id="68" w:name="_Toc20862883"/>
      <w:bookmarkStart w:id="69" w:name="_Toc20853219"/>
      <w:bookmarkStart w:id="70" w:name="_Toc20853438"/>
      <w:bookmarkStart w:id="71" w:name="_Toc20862884"/>
      <w:bookmarkStart w:id="72" w:name="_Toc198501406"/>
      <w:bookmarkStart w:id="73" w:name="_Toc20657995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8D5A72">
        <w:rPr>
          <w:rFonts w:ascii="Times New Roman" w:hAnsi="Times New Roman" w:cs="Times New Roman"/>
          <w:sz w:val="24"/>
          <w:szCs w:val="24"/>
          <w:lang w:val="en-US"/>
        </w:rPr>
        <w:t>Objective and service expected under this tender</w:t>
      </w:r>
      <w:bookmarkEnd w:id="72"/>
      <w:bookmarkEnd w:id="73"/>
    </w:p>
    <w:p w14:paraId="72018417" w14:textId="77777777" w:rsidR="00704D8F" w:rsidRPr="00A02FA8" w:rsidRDefault="00704D8F" w:rsidP="00704D8F">
      <w:pPr>
        <w:pStyle w:val="Titre2"/>
        <w:tabs>
          <w:tab w:val="num" w:pos="3230"/>
        </w:tabs>
        <w:ind w:left="1790"/>
        <w:rPr>
          <w:rFonts w:ascii="Times New Roman" w:hAnsi="Times New Roman" w:cs="Times New Roman"/>
          <w:sz w:val="24"/>
          <w:szCs w:val="24"/>
          <w:lang w:val="en-US"/>
        </w:rPr>
      </w:pPr>
      <w:bookmarkStart w:id="74" w:name="_Toc198501407"/>
      <w:bookmarkStart w:id="75" w:name="_Toc206579953"/>
      <w:r w:rsidRPr="00A02FA8">
        <w:rPr>
          <w:rFonts w:ascii="Times New Roman" w:hAnsi="Times New Roman" w:cs="Times New Roman"/>
          <w:sz w:val="24"/>
          <w:szCs w:val="24"/>
          <w:lang w:val="en-US"/>
        </w:rPr>
        <w:t>Scope and content of work</w:t>
      </w:r>
      <w:bookmarkEnd w:id="75"/>
    </w:p>
    <w:bookmarkEnd w:id="74"/>
    <w:p w14:paraId="2F02AC50" w14:textId="77777777" w:rsidR="0033671B" w:rsidRPr="008D5A72" w:rsidRDefault="0033671B" w:rsidP="00BC2FFB">
      <w:pPr>
        <w:ind w:left="720"/>
      </w:pPr>
    </w:p>
    <w:p w14:paraId="1E656FCD" w14:textId="7E4EBC22" w:rsidR="00562AAD" w:rsidRPr="00377AAC" w:rsidRDefault="004711A5" w:rsidP="00BC2FFB">
      <w:pPr>
        <w:ind w:left="720"/>
        <w:jc w:val="both"/>
        <w:rPr>
          <w:lang w:val="en-US"/>
        </w:rPr>
      </w:pPr>
      <w:r w:rsidRPr="00377AAC">
        <w:rPr>
          <w:lang w:val="en-US"/>
        </w:rPr>
        <w:t xml:space="preserve">The main objective of this assignment is to </w:t>
      </w:r>
      <w:r w:rsidRPr="004711A5">
        <w:rPr>
          <w:lang w:val="en-US"/>
        </w:rPr>
        <w:t xml:space="preserve">develop an economic and financial model for </w:t>
      </w:r>
      <w:proofErr w:type="spellStart"/>
      <w:r w:rsidRPr="004711A5">
        <w:rPr>
          <w:lang w:val="en-US"/>
        </w:rPr>
        <w:t>Agaciro</w:t>
      </w:r>
      <w:proofErr w:type="spellEnd"/>
      <w:r w:rsidRPr="004711A5">
        <w:rPr>
          <w:lang w:val="en-US"/>
        </w:rPr>
        <w:t xml:space="preserve"> and carry out a</w:t>
      </w:r>
      <w:r w:rsidRPr="00377AAC">
        <w:rPr>
          <w:lang w:val="en-US"/>
        </w:rPr>
        <w:t xml:space="preserve"> feasibility study for the structuring</w:t>
      </w:r>
      <w:r w:rsidRPr="004711A5">
        <w:rPr>
          <w:lang w:val="en-US"/>
        </w:rPr>
        <w:t xml:space="preserve"> an </w:t>
      </w:r>
      <w:r w:rsidR="00BC2FFB" w:rsidRPr="004711A5">
        <w:rPr>
          <w:lang w:val="en-US"/>
        </w:rPr>
        <w:t>asset-based</w:t>
      </w:r>
      <w:r w:rsidRPr="004711A5">
        <w:rPr>
          <w:lang w:val="en-US"/>
        </w:rPr>
        <w:t xml:space="preserve"> loan.</w:t>
      </w:r>
    </w:p>
    <w:p w14:paraId="3E873D29" w14:textId="77777777" w:rsidR="00FD35DF" w:rsidRDefault="00FD35DF" w:rsidP="00BC2FFB">
      <w:pPr>
        <w:ind w:left="720"/>
        <w:jc w:val="both"/>
        <w:rPr>
          <w:lang w:val="en-US"/>
        </w:rPr>
      </w:pPr>
    </w:p>
    <w:p w14:paraId="7D9CC16E" w14:textId="179B5E8E" w:rsidR="00562AAD" w:rsidRPr="00377AAC" w:rsidRDefault="00562AAD" w:rsidP="00FD35DF">
      <w:pPr>
        <w:ind w:left="720"/>
        <w:jc w:val="both"/>
        <w:rPr>
          <w:lang w:val="en-US"/>
        </w:rPr>
      </w:pPr>
      <w:r w:rsidRPr="00377AAC">
        <w:rPr>
          <w:lang w:val="en-US"/>
        </w:rPr>
        <w:t xml:space="preserve">The specific objectives are: </w:t>
      </w:r>
    </w:p>
    <w:p w14:paraId="10B81513" w14:textId="1A2A116B" w:rsidR="004711A5" w:rsidRPr="00377AAC" w:rsidRDefault="004711A5" w:rsidP="00FD35DF">
      <w:pPr>
        <w:pStyle w:val="NormalWeb"/>
        <w:numPr>
          <w:ilvl w:val="0"/>
          <w:numId w:val="27"/>
        </w:numPr>
        <w:spacing w:before="0" w:beforeAutospacing="0" w:after="0" w:afterAutospacing="0"/>
        <w:ind w:left="1440"/>
        <w:jc w:val="both"/>
        <w:rPr>
          <w:lang w:val="en-US"/>
        </w:rPr>
      </w:pPr>
      <w:r w:rsidRPr="00377AAC">
        <w:rPr>
          <w:lang w:val="en-US"/>
        </w:rPr>
        <w:t>Design a comprehensive</w:t>
      </w:r>
      <w:r w:rsidR="008D5A72">
        <w:rPr>
          <w:lang w:val="en-US"/>
        </w:rPr>
        <w:t xml:space="preserve"> and dynamic</w:t>
      </w:r>
      <w:r w:rsidRPr="00377AAC">
        <w:rPr>
          <w:lang w:val="en-US"/>
        </w:rPr>
        <w:t xml:space="preserve"> financial model reflecting </w:t>
      </w:r>
      <w:proofErr w:type="spellStart"/>
      <w:r w:rsidRPr="00377AAC">
        <w:rPr>
          <w:lang w:val="en-US"/>
        </w:rPr>
        <w:t>Agaciro’s</w:t>
      </w:r>
      <w:proofErr w:type="spellEnd"/>
      <w:r w:rsidRPr="00377AAC">
        <w:rPr>
          <w:lang w:val="en-US"/>
        </w:rPr>
        <w:t xml:space="preserve"> current and projected activities, incorporating revenue streams, investment flows, liabilities, and key macroeconomic variables.</w:t>
      </w:r>
    </w:p>
    <w:p w14:paraId="010D4609" w14:textId="7CDE536F" w:rsidR="004711A5" w:rsidRPr="00377AAC" w:rsidRDefault="004711A5" w:rsidP="00377AAC">
      <w:pPr>
        <w:pStyle w:val="NormalWeb"/>
        <w:numPr>
          <w:ilvl w:val="0"/>
          <w:numId w:val="27"/>
        </w:numPr>
        <w:ind w:left="1440"/>
        <w:jc w:val="both"/>
        <w:rPr>
          <w:lang w:val="en-US"/>
        </w:rPr>
      </w:pPr>
      <w:r w:rsidRPr="00377AAC">
        <w:rPr>
          <w:lang w:val="en-US"/>
        </w:rPr>
        <w:t xml:space="preserve">Evaluate the financial viability and long-term sustainability of </w:t>
      </w:r>
      <w:proofErr w:type="spellStart"/>
      <w:r w:rsidRPr="00377AAC">
        <w:rPr>
          <w:lang w:val="en-US"/>
        </w:rPr>
        <w:t>Agaciro</w:t>
      </w:r>
      <w:proofErr w:type="spellEnd"/>
      <w:r w:rsidRPr="00377AAC">
        <w:rPr>
          <w:lang w:val="en-US"/>
        </w:rPr>
        <w:t xml:space="preserve"> under various scenarios, including its capacity to mobilize external funding.</w:t>
      </w:r>
    </w:p>
    <w:p w14:paraId="7544695C" w14:textId="5B9A11AF" w:rsidR="004711A5" w:rsidRPr="00377AAC" w:rsidRDefault="004711A5" w:rsidP="00377AAC">
      <w:pPr>
        <w:pStyle w:val="NormalWeb"/>
        <w:numPr>
          <w:ilvl w:val="0"/>
          <w:numId w:val="27"/>
        </w:numPr>
        <w:ind w:left="1440"/>
        <w:jc w:val="both"/>
        <w:rPr>
          <w:lang w:val="en-US"/>
        </w:rPr>
      </w:pPr>
      <w:r w:rsidRPr="00377AAC">
        <w:rPr>
          <w:lang w:val="en-US"/>
        </w:rPr>
        <w:t xml:space="preserve">Simulate the impact of strategic decisions on </w:t>
      </w:r>
      <w:proofErr w:type="spellStart"/>
      <w:r w:rsidRPr="00377AAC">
        <w:rPr>
          <w:lang w:val="en-US"/>
        </w:rPr>
        <w:t>Agaciro’s</w:t>
      </w:r>
      <w:proofErr w:type="spellEnd"/>
      <w:r w:rsidRPr="00377AAC">
        <w:rPr>
          <w:lang w:val="en-US"/>
        </w:rPr>
        <w:t xml:space="preserve"> financial performance, balance sheet structure, and operational trajectory.</w:t>
      </w:r>
    </w:p>
    <w:p w14:paraId="5C8AE110" w14:textId="6FEEB12B" w:rsidR="004711A5" w:rsidRPr="00377AAC" w:rsidRDefault="004711A5" w:rsidP="00377AAC">
      <w:pPr>
        <w:pStyle w:val="NormalWeb"/>
        <w:numPr>
          <w:ilvl w:val="0"/>
          <w:numId w:val="27"/>
        </w:numPr>
        <w:ind w:left="1440"/>
        <w:jc w:val="both"/>
        <w:rPr>
          <w:lang w:val="en-US"/>
        </w:rPr>
      </w:pPr>
      <w:r w:rsidRPr="00377AAC">
        <w:rPr>
          <w:lang w:val="en-US"/>
        </w:rPr>
        <w:t>Integrate robust risk management functionalities into the model—such as sensitivity analysis, stress testing, and scenario planning—to assess exposure to macroeconomic shocks, sector-specific risks, and liquidity constraints.</w:t>
      </w:r>
    </w:p>
    <w:p w14:paraId="56E904BE" w14:textId="3EC605CE" w:rsidR="004711A5" w:rsidRPr="00377AAC" w:rsidRDefault="004711A5" w:rsidP="00377AAC">
      <w:pPr>
        <w:pStyle w:val="NormalWeb"/>
        <w:numPr>
          <w:ilvl w:val="0"/>
          <w:numId w:val="27"/>
        </w:numPr>
        <w:ind w:left="1440"/>
        <w:jc w:val="both"/>
        <w:rPr>
          <w:lang w:val="en-US"/>
        </w:rPr>
      </w:pPr>
      <w:r w:rsidRPr="00377AAC">
        <w:rPr>
          <w:lang w:val="en-US"/>
        </w:rPr>
        <w:t>Enable portfolio rebalancing simulations to test alternative asset allocation strategies based on varying return, risk, and impact assumptions.</w:t>
      </w:r>
    </w:p>
    <w:p w14:paraId="4467D65F" w14:textId="4E7534C6" w:rsidR="004711A5" w:rsidRPr="00377AAC" w:rsidRDefault="004711A5" w:rsidP="00377AAC">
      <w:pPr>
        <w:pStyle w:val="NormalWeb"/>
        <w:numPr>
          <w:ilvl w:val="0"/>
          <w:numId w:val="27"/>
        </w:numPr>
        <w:ind w:left="1440"/>
        <w:jc w:val="both"/>
        <w:rPr>
          <w:lang w:val="en-US"/>
        </w:rPr>
      </w:pPr>
      <w:r w:rsidRPr="00377AAC">
        <w:rPr>
          <w:lang w:val="en-US"/>
        </w:rPr>
        <w:t xml:space="preserve">Deliver a training component to ensure full internal ownership and effective operational use of the model by </w:t>
      </w:r>
      <w:proofErr w:type="spellStart"/>
      <w:r w:rsidRPr="00377AAC">
        <w:rPr>
          <w:lang w:val="en-US"/>
        </w:rPr>
        <w:t>Agaciro’s</w:t>
      </w:r>
      <w:proofErr w:type="spellEnd"/>
      <w:r w:rsidRPr="00377AAC">
        <w:rPr>
          <w:lang w:val="en-US"/>
        </w:rPr>
        <w:t xml:space="preserve"> team.</w:t>
      </w:r>
    </w:p>
    <w:p w14:paraId="5E97E32F" w14:textId="12F452D3" w:rsidR="004711A5" w:rsidRPr="00377AAC" w:rsidRDefault="004711A5" w:rsidP="00377AAC">
      <w:pPr>
        <w:pStyle w:val="NormalWeb"/>
        <w:numPr>
          <w:ilvl w:val="0"/>
          <w:numId w:val="27"/>
        </w:numPr>
        <w:ind w:left="1440"/>
        <w:jc w:val="both"/>
        <w:rPr>
          <w:lang w:val="en-US"/>
        </w:rPr>
      </w:pPr>
      <w:r w:rsidRPr="00377AAC">
        <w:rPr>
          <w:lang w:val="en-US"/>
        </w:rPr>
        <w:t xml:space="preserve">Assess </w:t>
      </w:r>
      <w:proofErr w:type="spellStart"/>
      <w:r w:rsidRPr="00377AAC">
        <w:rPr>
          <w:lang w:val="en-US"/>
        </w:rPr>
        <w:t>Agaciro’s</w:t>
      </w:r>
      <w:proofErr w:type="spellEnd"/>
      <w:r w:rsidRPr="00377AAC">
        <w:rPr>
          <w:lang w:val="en-US"/>
        </w:rPr>
        <w:t xml:space="preserve"> institutional maturity, strategic alignment, and investment readiness, with a focus on identifying critical gaps in governance, financial management, portfolio oversight, ESG integration, and organizational capacity.</w:t>
      </w:r>
    </w:p>
    <w:p w14:paraId="03F378C4" w14:textId="43C1D257" w:rsidR="004711A5" w:rsidRPr="00377AAC" w:rsidRDefault="004711A5" w:rsidP="00377AAC">
      <w:pPr>
        <w:pStyle w:val="NormalWeb"/>
        <w:numPr>
          <w:ilvl w:val="0"/>
          <w:numId w:val="27"/>
        </w:numPr>
        <w:ind w:left="1440"/>
        <w:jc w:val="both"/>
        <w:rPr>
          <w:lang w:val="en-US"/>
        </w:rPr>
      </w:pPr>
      <w:r w:rsidRPr="00377AAC">
        <w:rPr>
          <w:lang w:val="en-US"/>
        </w:rPr>
        <w:t xml:space="preserve">Define eligibility criteria and structuring options for a potential AFD policy-based credit line, tailored to </w:t>
      </w:r>
      <w:proofErr w:type="spellStart"/>
      <w:r w:rsidRPr="00377AAC">
        <w:rPr>
          <w:lang w:val="en-US"/>
        </w:rPr>
        <w:t>Agaciro’s</w:t>
      </w:r>
      <w:proofErr w:type="spellEnd"/>
      <w:r w:rsidRPr="00377AAC">
        <w:rPr>
          <w:lang w:val="en-US"/>
        </w:rPr>
        <w:t xml:space="preserve"> institutional context and growth ambitions.</w:t>
      </w:r>
    </w:p>
    <w:p w14:paraId="61A4B0FE" w14:textId="7F27A131" w:rsidR="00562AAD" w:rsidRPr="00FD35DF" w:rsidRDefault="004711A5" w:rsidP="00FD35DF">
      <w:pPr>
        <w:pStyle w:val="NormalWeb"/>
        <w:numPr>
          <w:ilvl w:val="0"/>
          <w:numId w:val="27"/>
        </w:numPr>
        <w:ind w:left="1440"/>
        <w:jc w:val="both"/>
        <w:rPr>
          <w:lang w:val="en-US"/>
        </w:rPr>
      </w:pPr>
      <w:r w:rsidRPr="00377AAC">
        <w:rPr>
          <w:lang w:val="en-US"/>
        </w:rPr>
        <w:lastRenderedPageBreak/>
        <w:t>Develop the components of a targeted technical assistance program to accompany the credit line, including capacity-building measures and tailored training for institutional strengthening.</w:t>
      </w:r>
    </w:p>
    <w:p w14:paraId="6BD80072" w14:textId="2F096532" w:rsidR="0033671B" w:rsidRPr="00377AAC" w:rsidRDefault="00704D8F" w:rsidP="00377AAC">
      <w:pPr>
        <w:pStyle w:val="Titre2"/>
        <w:tabs>
          <w:tab w:val="num" w:pos="3230"/>
        </w:tabs>
        <w:ind w:left="1790"/>
        <w:jc w:val="both"/>
        <w:rPr>
          <w:rFonts w:ascii="Times New Roman" w:hAnsi="Times New Roman" w:cs="Times New Roman"/>
          <w:sz w:val="24"/>
          <w:szCs w:val="24"/>
          <w:lang w:val="en-US"/>
        </w:rPr>
      </w:pPr>
      <w:bookmarkStart w:id="76" w:name="_Toc20853441"/>
      <w:bookmarkStart w:id="77" w:name="_Toc20862887"/>
      <w:bookmarkStart w:id="78" w:name="_Toc20853442"/>
      <w:bookmarkStart w:id="79" w:name="_Toc20862888"/>
      <w:bookmarkStart w:id="80" w:name="_Toc206579954"/>
      <w:bookmarkEnd w:id="76"/>
      <w:bookmarkEnd w:id="77"/>
      <w:bookmarkEnd w:id="78"/>
      <w:bookmarkEnd w:id="79"/>
      <w:r>
        <w:rPr>
          <w:rFonts w:ascii="Times New Roman" w:hAnsi="Times New Roman" w:cs="Times New Roman"/>
          <w:sz w:val="24"/>
          <w:szCs w:val="24"/>
          <w:lang w:val="en-US"/>
        </w:rPr>
        <w:t>Activities</w:t>
      </w:r>
      <w:bookmarkEnd w:id="80"/>
    </w:p>
    <w:p w14:paraId="34412CDF" w14:textId="77777777" w:rsidR="00C3298D" w:rsidRPr="00377AAC" w:rsidRDefault="00C3298D" w:rsidP="00744AB2">
      <w:pPr>
        <w:ind w:left="720"/>
        <w:jc w:val="both"/>
        <w:rPr>
          <w:lang w:val="en-US"/>
        </w:rPr>
      </w:pPr>
    </w:p>
    <w:p w14:paraId="709AF1A3" w14:textId="30572E6C" w:rsidR="00562AAD" w:rsidRPr="00377AAC" w:rsidRDefault="00562AAD" w:rsidP="00744AB2">
      <w:pPr>
        <w:ind w:left="720"/>
        <w:jc w:val="both"/>
        <w:rPr>
          <w:lang w:val="en-US"/>
        </w:rPr>
      </w:pPr>
      <w:r w:rsidRPr="00377AAC">
        <w:rPr>
          <w:lang w:val="en-US"/>
        </w:rPr>
        <w:t xml:space="preserve">The service is organized into the following </w:t>
      </w:r>
      <w:r w:rsidR="0076380F" w:rsidRPr="00377AAC">
        <w:rPr>
          <w:lang w:val="en-US"/>
        </w:rPr>
        <w:t>three</w:t>
      </w:r>
      <w:r w:rsidRPr="00377AAC">
        <w:rPr>
          <w:lang w:val="en-US"/>
        </w:rPr>
        <w:t xml:space="preserve"> stages:</w:t>
      </w:r>
    </w:p>
    <w:p w14:paraId="0334FC25" w14:textId="77777777" w:rsidR="00562AAD" w:rsidRPr="00377AAC" w:rsidRDefault="00562AAD" w:rsidP="00744AB2">
      <w:pPr>
        <w:ind w:left="720"/>
        <w:jc w:val="both"/>
        <w:rPr>
          <w:b/>
          <w:u w:val="single"/>
          <w:lang w:val="en-US"/>
        </w:rPr>
      </w:pPr>
    </w:p>
    <w:p w14:paraId="1FF83CCB" w14:textId="5D8EE8FA" w:rsidR="004711A5" w:rsidRPr="00744AB2" w:rsidRDefault="004711A5" w:rsidP="00744AB2">
      <w:pPr>
        <w:ind w:left="720"/>
        <w:jc w:val="both"/>
        <w:rPr>
          <w:b/>
          <w:u w:val="single"/>
          <w:lang w:val="en-ZA"/>
        </w:rPr>
      </w:pPr>
      <w:r w:rsidRPr="00377AAC">
        <w:rPr>
          <w:b/>
          <w:u w:val="single"/>
          <w:lang w:val="en-US"/>
        </w:rPr>
        <w:t xml:space="preserve">Component A – </w:t>
      </w:r>
      <w:r w:rsidRPr="00744AB2">
        <w:rPr>
          <w:b/>
          <w:u w:val="single"/>
          <w:lang w:val="en-ZA"/>
        </w:rPr>
        <w:t>Institutional Diagnosis:</w:t>
      </w:r>
    </w:p>
    <w:p w14:paraId="6FE99FBB" w14:textId="77777777" w:rsidR="004711A5" w:rsidRPr="00744AB2" w:rsidRDefault="004711A5" w:rsidP="00744AB2">
      <w:pPr>
        <w:ind w:left="720"/>
        <w:jc w:val="both"/>
        <w:rPr>
          <w:b/>
          <w:u w:val="single"/>
          <w:lang w:val="en-US"/>
        </w:rPr>
      </w:pPr>
    </w:p>
    <w:p w14:paraId="460A13E5" w14:textId="3BF3B209" w:rsidR="004711A5" w:rsidRPr="00FD35DF" w:rsidRDefault="004711A5" w:rsidP="00744AB2">
      <w:pPr>
        <w:ind w:left="720"/>
        <w:jc w:val="both"/>
        <w:rPr>
          <w:bCs/>
          <w:lang w:val="en-US"/>
        </w:rPr>
      </w:pPr>
      <w:r w:rsidRPr="00FD35DF">
        <w:rPr>
          <w:bCs/>
          <w:lang w:val="en-US"/>
        </w:rPr>
        <w:t xml:space="preserve">To establish a baseline assessment of </w:t>
      </w:r>
      <w:proofErr w:type="spellStart"/>
      <w:r w:rsidRPr="00FD35DF">
        <w:rPr>
          <w:bCs/>
          <w:lang w:val="en-US"/>
        </w:rPr>
        <w:t>Agaciro’s</w:t>
      </w:r>
      <w:proofErr w:type="spellEnd"/>
      <w:r w:rsidRPr="00FD35DF">
        <w:rPr>
          <w:bCs/>
          <w:lang w:val="en-US"/>
        </w:rPr>
        <w:t xml:space="preserve"> current institutional setup by identifying foundational gaps in governance, organizational structure, investment processes, and ESG integration. The diagnosis will inform priority areas for institutional development and provide the groundwork for structuring targeted technical assistance and future capacity building.</w:t>
      </w:r>
    </w:p>
    <w:p w14:paraId="2A33A28F" w14:textId="77777777" w:rsidR="004711A5" w:rsidRPr="00FD35DF" w:rsidRDefault="004711A5" w:rsidP="00744AB2">
      <w:pPr>
        <w:ind w:left="720"/>
        <w:jc w:val="both"/>
        <w:rPr>
          <w:bCs/>
          <w:lang w:val="en-US"/>
        </w:rPr>
      </w:pPr>
    </w:p>
    <w:p w14:paraId="3311E38C" w14:textId="77777777" w:rsidR="004711A5" w:rsidRPr="00FD35DF" w:rsidRDefault="004711A5" w:rsidP="00FD35DF">
      <w:pPr>
        <w:pStyle w:val="Paragraphedeliste"/>
        <w:numPr>
          <w:ilvl w:val="0"/>
          <w:numId w:val="24"/>
        </w:numPr>
        <w:spacing w:line="240" w:lineRule="auto"/>
        <w:ind w:left="1434" w:hanging="357"/>
        <w:rPr>
          <w:bCs/>
          <w:lang w:val="en-US"/>
        </w:rPr>
      </w:pPr>
      <w:r w:rsidRPr="00FD35DF">
        <w:rPr>
          <w:rFonts w:ascii="Times New Roman" w:hAnsi="Times New Roman"/>
          <w:bCs/>
          <w:sz w:val="24"/>
          <w:szCs w:val="24"/>
          <w:lang w:val="en-US"/>
        </w:rPr>
        <w:t>Map the current institutional setup and assess the availability and maturity of key strategic documents (e.g., Investment Policy Statement, governance frameworks, risk management guidelines).</w:t>
      </w:r>
    </w:p>
    <w:p w14:paraId="23EB41F7" w14:textId="77777777" w:rsidR="004711A5" w:rsidRPr="00FD35DF" w:rsidRDefault="004711A5" w:rsidP="00FD35DF">
      <w:pPr>
        <w:pStyle w:val="Paragraphedeliste"/>
        <w:numPr>
          <w:ilvl w:val="0"/>
          <w:numId w:val="24"/>
        </w:numPr>
        <w:spacing w:line="240" w:lineRule="auto"/>
        <w:ind w:left="1434" w:hanging="357"/>
        <w:rPr>
          <w:bCs/>
          <w:lang w:val="en-US"/>
        </w:rPr>
      </w:pPr>
      <w:r w:rsidRPr="00FD35DF">
        <w:rPr>
          <w:rFonts w:ascii="Times New Roman" w:hAnsi="Times New Roman"/>
          <w:bCs/>
          <w:sz w:val="24"/>
          <w:szCs w:val="24"/>
          <w:lang w:val="en-US"/>
        </w:rPr>
        <w:t>Review the governance architecture, including board composition, oversight mechanisms, and shareholder engagement structures, even if still nascent.</w:t>
      </w:r>
    </w:p>
    <w:p w14:paraId="3FB93EA6" w14:textId="77777777" w:rsidR="004711A5" w:rsidRPr="00FD35DF" w:rsidRDefault="004711A5" w:rsidP="00FD35DF">
      <w:pPr>
        <w:pStyle w:val="Paragraphedeliste"/>
        <w:numPr>
          <w:ilvl w:val="0"/>
          <w:numId w:val="24"/>
        </w:numPr>
        <w:spacing w:line="240" w:lineRule="auto"/>
        <w:ind w:left="1434" w:hanging="357"/>
        <w:rPr>
          <w:bCs/>
          <w:lang w:val="en-US"/>
        </w:rPr>
      </w:pPr>
      <w:r w:rsidRPr="00FD35DF">
        <w:rPr>
          <w:rFonts w:ascii="Times New Roman" w:hAnsi="Times New Roman"/>
          <w:bCs/>
          <w:sz w:val="24"/>
          <w:szCs w:val="24"/>
          <w:lang w:val="en-US"/>
        </w:rPr>
        <w:t>Assess the current organizational structure and human resource base, including staffing levels, recruitment plans, and operational capacity.</w:t>
      </w:r>
    </w:p>
    <w:p w14:paraId="1F41559D" w14:textId="77777777" w:rsidR="004711A5" w:rsidRPr="00FD35DF" w:rsidRDefault="004711A5" w:rsidP="00FD35DF">
      <w:pPr>
        <w:pStyle w:val="Paragraphedeliste"/>
        <w:numPr>
          <w:ilvl w:val="0"/>
          <w:numId w:val="24"/>
        </w:numPr>
        <w:spacing w:line="240" w:lineRule="auto"/>
        <w:ind w:left="1434" w:hanging="357"/>
        <w:rPr>
          <w:bCs/>
          <w:lang w:val="en-US"/>
        </w:rPr>
      </w:pPr>
      <w:r w:rsidRPr="00FD35DF">
        <w:rPr>
          <w:rFonts w:ascii="Times New Roman" w:hAnsi="Times New Roman"/>
          <w:bCs/>
          <w:sz w:val="24"/>
          <w:szCs w:val="24"/>
          <w:lang w:val="en-US"/>
        </w:rPr>
        <w:t>Examine existing or emerging investment practices, including how opportunities are sourced, evaluated, and managed, even if procedures remain informal or ad hoc.</w:t>
      </w:r>
    </w:p>
    <w:p w14:paraId="0D4D9016" w14:textId="77777777" w:rsidR="004711A5" w:rsidRPr="00FD35DF" w:rsidRDefault="004711A5" w:rsidP="00FD35DF">
      <w:pPr>
        <w:pStyle w:val="Paragraphedeliste"/>
        <w:numPr>
          <w:ilvl w:val="0"/>
          <w:numId w:val="24"/>
        </w:numPr>
        <w:spacing w:line="240" w:lineRule="auto"/>
        <w:ind w:left="1434" w:hanging="357"/>
        <w:rPr>
          <w:bCs/>
          <w:lang w:val="en-US"/>
        </w:rPr>
      </w:pPr>
      <w:r w:rsidRPr="00FD35DF">
        <w:rPr>
          <w:rFonts w:ascii="Times New Roman" w:hAnsi="Times New Roman"/>
          <w:bCs/>
          <w:sz w:val="24"/>
          <w:szCs w:val="24"/>
          <w:lang w:val="en-US"/>
        </w:rPr>
        <w:t>Explore the extent to which ESG, climate, and gender considerations are being integrated, and identify needs for formal policy development in these areas.</w:t>
      </w:r>
    </w:p>
    <w:p w14:paraId="76C4ABD4" w14:textId="77777777" w:rsidR="004711A5" w:rsidRPr="00FD35DF" w:rsidRDefault="004711A5" w:rsidP="00FD35DF">
      <w:pPr>
        <w:pStyle w:val="Paragraphedeliste"/>
        <w:numPr>
          <w:ilvl w:val="0"/>
          <w:numId w:val="24"/>
        </w:numPr>
        <w:spacing w:line="240" w:lineRule="auto"/>
        <w:ind w:left="1434" w:hanging="357"/>
        <w:rPr>
          <w:bCs/>
          <w:lang w:val="en-US"/>
        </w:rPr>
      </w:pPr>
      <w:r w:rsidRPr="00FD35DF">
        <w:rPr>
          <w:rFonts w:ascii="Times New Roman" w:hAnsi="Times New Roman"/>
          <w:bCs/>
          <w:sz w:val="24"/>
          <w:szCs w:val="24"/>
          <w:lang w:val="en-US"/>
        </w:rPr>
        <w:t xml:space="preserve">Identify institutional and operational bottlenecks that may limit </w:t>
      </w:r>
      <w:proofErr w:type="spellStart"/>
      <w:r w:rsidRPr="00FD35DF">
        <w:rPr>
          <w:rFonts w:ascii="Times New Roman" w:hAnsi="Times New Roman"/>
          <w:bCs/>
          <w:sz w:val="24"/>
          <w:szCs w:val="24"/>
          <w:lang w:val="en-US"/>
        </w:rPr>
        <w:t>Agaciro’s</w:t>
      </w:r>
      <w:proofErr w:type="spellEnd"/>
      <w:r w:rsidRPr="00FD35DF">
        <w:rPr>
          <w:rFonts w:ascii="Times New Roman" w:hAnsi="Times New Roman"/>
          <w:bCs/>
          <w:sz w:val="24"/>
          <w:szCs w:val="24"/>
          <w:lang w:val="en-US"/>
        </w:rPr>
        <w:t xml:space="preserve"> ability to deploy capital or attract additional financing.</w:t>
      </w:r>
    </w:p>
    <w:p w14:paraId="0AD4159F" w14:textId="2757090F" w:rsidR="004711A5" w:rsidRPr="00FD35DF" w:rsidRDefault="004711A5" w:rsidP="00FD35DF">
      <w:pPr>
        <w:pStyle w:val="Paragraphedeliste"/>
        <w:numPr>
          <w:ilvl w:val="0"/>
          <w:numId w:val="24"/>
        </w:numPr>
        <w:spacing w:line="240" w:lineRule="auto"/>
        <w:ind w:left="1434" w:hanging="357"/>
        <w:rPr>
          <w:bCs/>
          <w:sz w:val="24"/>
          <w:szCs w:val="24"/>
          <w:lang w:val="en-US"/>
        </w:rPr>
      </w:pPr>
      <w:r w:rsidRPr="00FD35DF">
        <w:rPr>
          <w:rFonts w:ascii="Times New Roman" w:hAnsi="Times New Roman"/>
          <w:bCs/>
          <w:sz w:val="24"/>
          <w:szCs w:val="24"/>
          <w:lang w:val="en-US"/>
        </w:rPr>
        <w:t>Develop a prioritized set of recommendations to guide institutional strengthening and inform the design of targeted technical assistance.</w:t>
      </w:r>
    </w:p>
    <w:p w14:paraId="6CE7BE18" w14:textId="77777777" w:rsidR="004711A5" w:rsidRPr="00744AB2" w:rsidRDefault="004711A5" w:rsidP="00744AB2">
      <w:pPr>
        <w:ind w:left="720"/>
        <w:jc w:val="both"/>
        <w:rPr>
          <w:b/>
          <w:u w:val="single"/>
          <w:lang w:val="en-US"/>
        </w:rPr>
      </w:pPr>
    </w:p>
    <w:p w14:paraId="22B9C9B8" w14:textId="23477F6F" w:rsidR="00562AAD" w:rsidRPr="00744AB2" w:rsidRDefault="00562AAD" w:rsidP="00744AB2">
      <w:pPr>
        <w:ind w:left="720"/>
        <w:jc w:val="both"/>
        <w:rPr>
          <w:b/>
          <w:u w:val="single"/>
          <w:lang w:val="en-US"/>
        </w:rPr>
      </w:pPr>
      <w:r w:rsidRPr="00744AB2">
        <w:rPr>
          <w:b/>
          <w:u w:val="single"/>
          <w:lang w:val="en-US"/>
        </w:rPr>
        <w:t xml:space="preserve">Component </w:t>
      </w:r>
      <w:r w:rsidR="004711A5" w:rsidRPr="00744AB2">
        <w:rPr>
          <w:b/>
          <w:u w:val="single"/>
          <w:lang w:val="en-US"/>
        </w:rPr>
        <w:t>B</w:t>
      </w:r>
      <w:r w:rsidRPr="00744AB2">
        <w:rPr>
          <w:b/>
          <w:u w:val="single"/>
          <w:lang w:val="en-US"/>
        </w:rPr>
        <w:t xml:space="preserve"> – </w:t>
      </w:r>
      <w:r w:rsidR="004711A5" w:rsidRPr="00BC2FFB">
        <w:rPr>
          <w:b/>
          <w:u w:val="single"/>
          <w:lang w:val="en-US"/>
        </w:rPr>
        <w:t>Financial Model Development</w:t>
      </w:r>
      <w:r w:rsidR="004711A5" w:rsidRPr="00744AB2">
        <w:rPr>
          <w:b/>
          <w:u w:val="single"/>
          <w:lang w:val="en-US"/>
        </w:rPr>
        <w:t>:</w:t>
      </w:r>
    </w:p>
    <w:p w14:paraId="64D7B2B5" w14:textId="77777777" w:rsidR="004711A5" w:rsidRPr="00744AB2" w:rsidRDefault="004711A5" w:rsidP="00744AB2">
      <w:pPr>
        <w:ind w:left="720"/>
        <w:jc w:val="both"/>
        <w:rPr>
          <w:b/>
          <w:u w:val="single"/>
          <w:lang w:val="en-US"/>
        </w:rPr>
      </w:pPr>
    </w:p>
    <w:p w14:paraId="24112729" w14:textId="77777777" w:rsidR="004711A5" w:rsidRPr="00744AB2" w:rsidRDefault="004711A5" w:rsidP="00744AB2">
      <w:pPr>
        <w:ind w:left="720"/>
        <w:jc w:val="both"/>
        <w:rPr>
          <w:lang w:val="en-US"/>
        </w:rPr>
      </w:pPr>
      <w:r w:rsidRPr="00744AB2">
        <w:rPr>
          <w:lang w:val="en-US"/>
        </w:rPr>
        <w:t xml:space="preserve">This component encompasses the full cycle of designing, building, and applying a forward-looking economic and financial model for </w:t>
      </w:r>
      <w:proofErr w:type="spellStart"/>
      <w:r w:rsidRPr="00744AB2">
        <w:rPr>
          <w:lang w:val="en-US"/>
        </w:rPr>
        <w:t>Agaciro</w:t>
      </w:r>
      <w:proofErr w:type="spellEnd"/>
      <w:r w:rsidRPr="00744AB2">
        <w:rPr>
          <w:lang w:val="en-US"/>
        </w:rPr>
        <w:t xml:space="preserve">, grounded in a diagnostic of the Fund’s strategic, financial, and institutional parameters. The objective is to equip </w:t>
      </w:r>
      <w:proofErr w:type="spellStart"/>
      <w:r w:rsidRPr="00744AB2">
        <w:rPr>
          <w:lang w:val="en-US"/>
        </w:rPr>
        <w:t>Agaciro</w:t>
      </w:r>
      <w:proofErr w:type="spellEnd"/>
      <w:r w:rsidRPr="00744AB2">
        <w:rPr>
          <w:lang w:val="en-US"/>
        </w:rPr>
        <w:t xml:space="preserve"> with a robust decision-support tool to assess financial sustainability, support strategic planning, and simulate the impact of various investment and financing scenarios.</w:t>
      </w:r>
    </w:p>
    <w:p w14:paraId="1FBD3FE5" w14:textId="77777777" w:rsidR="00FD35DF" w:rsidRPr="00744AB2" w:rsidRDefault="00FD35DF" w:rsidP="00FD35DF">
      <w:pPr>
        <w:jc w:val="both"/>
        <w:rPr>
          <w:lang w:val="en-US"/>
        </w:rPr>
      </w:pPr>
    </w:p>
    <w:p w14:paraId="4118064B" w14:textId="77777777" w:rsidR="004711A5" w:rsidRPr="00744AB2" w:rsidRDefault="004711A5" w:rsidP="00744AB2">
      <w:pPr>
        <w:ind w:left="720"/>
        <w:jc w:val="both"/>
        <w:rPr>
          <w:b/>
          <w:bCs/>
        </w:rPr>
      </w:pPr>
      <w:proofErr w:type="spellStart"/>
      <w:proofErr w:type="gramStart"/>
      <w:r w:rsidRPr="00744AB2">
        <w:rPr>
          <w:b/>
          <w:bCs/>
        </w:rPr>
        <w:t>Activities</w:t>
      </w:r>
      <w:proofErr w:type="spellEnd"/>
      <w:r w:rsidRPr="00744AB2">
        <w:rPr>
          <w:b/>
          <w:bCs/>
        </w:rPr>
        <w:t>:</w:t>
      </w:r>
      <w:proofErr w:type="gramEnd"/>
    </w:p>
    <w:p w14:paraId="49476F62" w14:textId="77777777" w:rsidR="004711A5" w:rsidRPr="00744AB2" w:rsidRDefault="004711A5" w:rsidP="00744AB2">
      <w:pPr>
        <w:ind w:left="720"/>
        <w:jc w:val="both"/>
        <w:rPr>
          <w:b/>
          <w:bCs/>
        </w:rPr>
      </w:pPr>
    </w:p>
    <w:p w14:paraId="51B64024" w14:textId="77777777" w:rsidR="004711A5" w:rsidRPr="00744AB2" w:rsidRDefault="004711A5" w:rsidP="00744AB2">
      <w:pPr>
        <w:ind w:left="720"/>
        <w:jc w:val="both"/>
      </w:pPr>
      <w:r w:rsidRPr="00744AB2">
        <w:rPr>
          <w:b/>
          <w:bCs/>
        </w:rPr>
        <w:t xml:space="preserve">1. Diagnostic and </w:t>
      </w:r>
      <w:proofErr w:type="spellStart"/>
      <w:proofErr w:type="gramStart"/>
      <w:r w:rsidRPr="00744AB2">
        <w:rPr>
          <w:b/>
          <w:bCs/>
        </w:rPr>
        <w:t>Scoping</w:t>
      </w:r>
      <w:proofErr w:type="spellEnd"/>
      <w:r w:rsidRPr="00744AB2">
        <w:rPr>
          <w:b/>
          <w:bCs/>
        </w:rPr>
        <w:t>:</w:t>
      </w:r>
      <w:proofErr w:type="gramEnd"/>
    </w:p>
    <w:p w14:paraId="57C77733" w14:textId="77777777" w:rsidR="004711A5" w:rsidRPr="00744AB2" w:rsidRDefault="004711A5" w:rsidP="00744AB2">
      <w:pPr>
        <w:numPr>
          <w:ilvl w:val="0"/>
          <w:numId w:val="21"/>
        </w:numPr>
        <w:tabs>
          <w:tab w:val="clear" w:pos="720"/>
          <w:tab w:val="num" w:pos="2880"/>
        </w:tabs>
        <w:ind w:left="1440"/>
        <w:jc w:val="both"/>
        <w:rPr>
          <w:lang w:val="en-US"/>
        </w:rPr>
      </w:pPr>
      <w:r w:rsidRPr="00744AB2">
        <w:rPr>
          <w:lang w:val="en-US"/>
        </w:rPr>
        <w:t>Review strategic, financial, and operational documents including the Investment Policy Statement, annual reports, governance framework, risk policies, and historical financial statements.</w:t>
      </w:r>
    </w:p>
    <w:p w14:paraId="1A34BC5E" w14:textId="77777777" w:rsidR="004711A5" w:rsidRPr="00744AB2" w:rsidRDefault="004711A5" w:rsidP="00744AB2">
      <w:pPr>
        <w:numPr>
          <w:ilvl w:val="0"/>
          <w:numId w:val="21"/>
        </w:numPr>
        <w:tabs>
          <w:tab w:val="clear" w:pos="720"/>
          <w:tab w:val="num" w:pos="2880"/>
        </w:tabs>
        <w:ind w:left="1440"/>
        <w:jc w:val="both"/>
        <w:rPr>
          <w:lang w:val="en-US"/>
        </w:rPr>
      </w:pPr>
      <w:r w:rsidRPr="00744AB2">
        <w:rPr>
          <w:lang w:val="en-US"/>
        </w:rPr>
        <w:t>Analyze current and projected revenue streams (e.g., capital contributions, investment income, dividends) and funding structures.</w:t>
      </w:r>
    </w:p>
    <w:p w14:paraId="742B17A5" w14:textId="77777777" w:rsidR="004711A5" w:rsidRPr="00744AB2" w:rsidRDefault="004711A5" w:rsidP="00744AB2">
      <w:pPr>
        <w:numPr>
          <w:ilvl w:val="0"/>
          <w:numId w:val="21"/>
        </w:numPr>
        <w:tabs>
          <w:tab w:val="clear" w:pos="720"/>
          <w:tab w:val="num" w:pos="2880"/>
        </w:tabs>
        <w:ind w:left="1440"/>
        <w:jc w:val="both"/>
        <w:rPr>
          <w:lang w:val="en-US"/>
        </w:rPr>
      </w:pPr>
      <w:r w:rsidRPr="00744AB2">
        <w:rPr>
          <w:lang w:val="en-US"/>
        </w:rPr>
        <w:lastRenderedPageBreak/>
        <w:t>Assess existing portfolio management practices and any modeling tools already in use.</w:t>
      </w:r>
    </w:p>
    <w:p w14:paraId="3437094E" w14:textId="77777777" w:rsidR="004711A5" w:rsidRPr="00744AB2" w:rsidRDefault="004711A5" w:rsidP="00744AB2">
      <w:pPr>
        <w:numPr>
          <w:ilvl w:val="0"/>
          <w:numId w:val="21"/>
        </w:numPr>
        <w:tabs>
          <w:tab w:val="clear" w:pos="720"/>
          <w:tab w:val="num" w:pos="2880"/>
        </w:tabs>
        <w:ind w:left="1440"/>
        <w:jc w:val="both"/>
        <w:rPr>
          <w:lang w:val="en-US"/>
        </w:rPr>
      </w:pPr>
      <w:r w:rsidRPr="00744AB2">
        <w:rPr>
          <w:lang w:val="en-US"/>
        </w:rPr>
        <w:t xml:space="preserve">Conduct stakeholder interviews with </w:t>
      </w:r>
      <w:proofErr w:type="spellStart"/>
      <w:r w:rsidRPr="00744AB2">
        <w:rPr>
          <w:lang w:val="en-US"/>
        </w:rPr>
        <w:t>Agaciro</w:t>
      </w:r>
      <w:proofErr w:type="spellEnd"/>
      <w:r w:rsidRPr="00744AB2">
        <w:rPr>
          <w:lang w:val="en-US"/>
        </w:rPr>
        <w:t xml:space="preserve"> management and key partners to identify modeling needs, strategic priorities, and operational constraints.</w:t>
      </w:r>
    </w:p>
    <w:p w14:paraId="3E6CD29F" w14:textId="77777777" w:rsidR="004711A5" w:rsidRPr="00744AB2" w:rsidRDefault="004711A5" w:rsidP="00744AB2">
      <w:pPr>
        <w:numPr>
          <w:ilvl w:val="0"/>
          <w:numId w:val="21"/>
        </w:numPr>
        <w:tabs>
          <w:tab w:val="clear" w:pos="720"/>
          <w:tab w:val="num" w:pos="2880"/>
        </w:tabs>
        <w:ind w:left="1440"/>
        <w:jc w:val="both"/>
        <w:rPr>
          <w:lang w:val="en-US"/>
        </w:rPr>
      </w:pPr>
      <w:r w:rsidRPr="00744AB2">
        <w:rPr>
          <w:lang w:val="en-US"/>
        </w:rPr>
        <w:t>Define the modeling parameters (e.g., asset classes, risk factors, cost structures, macroeconomic assumptions).</w:t>
      </w:r>
    </w:p>
    <w:p w14:paraId="6FD8FD11" w14:textId="77777777" w:rsidR="004711A5" w:rsidRPr="00744AB2" w:rsidRDefault="004711A5" w:rsidP="00744AB2">
      <w:pPr>
        <w:numPr>
          <w:ilvl w:val="0"/>
          <w:numId w:val="21"/>
        </w:numPr>
        <w:tabs>
          <w:tab w:val="clear" w:pos="720"/>
          <w:tab w:val="num" w:pos="2880"/>
        </w:tabs>
        <w:ind w:left="1440"/>
        <w:jc w:val="both"/>
        <w:rPr>
          <w:lang w:val="en-US"/>
        </w:rPr>
      </w:pPr>
      <w:r w:rsidRPr="00744AB2">
        <w:rPr>
          <w:lang w:val="en-US"/>
        </w:rPr>
        <w:t>Identify key financial and developmental KPIs to be integrated into the model.</w:t>
      </w:r>
    </w:p>
    <w:p w14:paraId="7271772C" w14:textId="77777777" w:rsidR="004711A5" w:rsidRPr="00744AB2" w:rsidRDefault="004711A5" w:rsidP="00744AB2">
      <w:pPr>
        <w:numPr>
          <w:ilvl w:val="0"/>
          <w:numId w:val="21"/>
        </w:numPr>
        <w:tabs>
          <w:tab w:val="clear" w:pos="720"/>
          <w:tab w:val="num" w:pos="2880"/>
        </w:tabs>
        <w:ind w:left="1440"/>
        <w:jc w:val="both"/>
        <w:rPr>
          <w:lang w:val="en-US"/>
        </w:rPr>
      </w:pPr>
      <w:r w:rsidRPr="00744AB2">
        <w:rPr>
          <w:lang w:val="en-US"/>
        </w:rPr>
        <w:t xml:space="preserve">Validate the scope, granularity, and structure of the model with </w:t>
      </w:r>
      <w:proofErr w:type="spellStart"/>
      <w:r w:rsidRPr="00744AB2">
        <w:rPr>
          <w:lang w:val="en-US"/>
        </w:rPr>
        <w:t>Agaciro</w:t>
      </w:r>
      <w:proofErr w:type="spellEnd"/>
      <w:r w:rsidRPr="00744AB2">
        <w:rPr>
          <w:lang w:val="en-US"/>
        </w:rPr>
        <w:t>.</w:t>
      </w:r>
    </w:p>
    <w:p w14:paraId="4BF9F58C" w14:textId="77777777" w:rsidR="004711A5" w:rsidRPr="00744AB2" w:rsidRDefault="004711A5" w:rsidP="00744AB2">
      <w:pPr>
        <w:ind w:left="1440"/>
        <w:jc w:val="both"/>
        <w:rPr>
          <w:lang w:val="en-US"/>
        </w:rPr>
      </w:pPr>
    </w:p>
    <w:p w14:paraId="05F5D8E3" w14:textId="77777777" w:rsidR="004711A5" w:rsidRPr="00744AB2" w:rsidRDefault="004711A5" w:rsidP="00744AB2">
      <w:pPr>
        <w:ind w:left="720"/>
        <w:jc w:val="both"/>
      </w:pPr>
      <w:r w:rsidRPr="00744AB2">
        <w:rPr>
          <w:b/>
          <w:bCs/>
        </w:rPr>
        <w:t xml:space="preserve">2. Model </w:t>
      </w:r>
      <w:proofErr w:type="spellStart"/>
      <w:proofErr w:type="gramStart"/>
      <w:r w:rsidRPr="00744AB2">
        <w:rPr>
          <w:b/>
          <w:bCs/>
        </w:rPr>
        <w:t>Development</w:t>
      </w:r>
      <w:proofErr w:type="spellEnd"/>
      <w:r w:rsidRPr="00744AB2">
        <w:rPr>
          <w:b/>
          <w:bCs/>
        </w:rPr>
        <w:t>:</w:t>
      </w:r>
      <w:proofErr w:type="gramEnd"/>
    </w:p>
    <w:p w14:paraId="438E205B" w14:textId="77777777" w:rsidR="004711A5" w:rsidRPr="00744AB2" w:rsidRDefault="004711A5" w:rsidP="00744AB2">
      <w:pPr>
        <w:numPr>
          <w:ilvl w:val="0"/>
          <w:numId w:val="22"/>
        </w:numPr>
        <w:tabs>
          <w:tab w:val="clear" w:pos="720"/>
          <w:tab w:val="num" w:pos="2880"/>
        </w:tabs>
        <w:ind w:left="1440"/>
        <w:jc w:val="both"/>
        <w:rPr>
          <w:lang w:val="en-US"/>
        </w:rPr>
      </w:pPr>
      <w:r w:rsidRPr="00744AB2">
        <w:rPr>
          <w:b/>
          <w:bCs/>
          <w:lang w:val="en-US"/>
        </w:rPr>
        <w:t>Assumptions Module</w:t>
      </w:r>
      <w:r w:rsidRPr="00744AB2">
        <w:rPr>
          <w:lang w:val="en-US"/>
        </w:rPr>
        <w:t>: A centralized, modifiable input sheet capturing investment types, returns, financing terms, costs, and macroeconomic variables (e.g., inflation, FX, SOFR).</w:t>
      </w:r>
    </w:p>
    <w:p w14:paraId="3E7C1D1F" w14:textId="77777777" w:rsidR="004711A5" w:rsidRPr="00744AB2" w:rsidRDefault="004711A5" w:rsidP="00744AB2">
      <w:pPr>
        <w:numPr>
          <w:ilvl w:val="0"/>
          <w:numId w:val="22"/>
        </w:numPr>
        <w:tabs>
          <w:tab w:val="clear" w:pos="720"/>
          <w:tab w:val="num" w:pos="2880"/>
        </w:tabs>
        <w:ind w:left="1440"/>
        <w:jc w:val="both"/>
        <w:rPr>
          <w:lang w:val="en-US"/>
        </w:rPr>
      </w:pPr>
      <w:r w:rsidRPr="00744AB2">
        <w:rPr>
          <w:b/>
          <w:bCs/>
          <w:lang w:val="en-US"/>
        </w:rPr>
        <w:t>Historical Integration</w:t>
      </w:r>
      <w:r w:rsidRPr="00744AB2">
        <w:rPr>
          <w:lang w:val="en-US"/>
        </w:rPr>
        <w:t>: Incorporation of the last 4–5 years of audited financials (IS, BS, CF).</w:t>
      </w:r>
    </w:p>
    <w:p w14:paraId="3A7614D7" w14:textId="77777777" w:rsidR="004711A5" w:rsidRPr="00744AB2" w:rsidRDefault="004711A5" w:rsidP="00744AB2">
      <w:pPr>
        <w:numPr>
          <w:ilvl w:val="0"/>
          <w:numId w:val="22"/>
        </w:numPr>
        <w:tabs>
          <w:tab w:val="clear" w:pos="720"/>
          <w:tab w:val="num" w:pos="2880"/>
        </w:tabs>
        <w:ind w:left="1440"/>
        <w:jc w:val="both"/>
        <w:rPr>
          <w:lang w:val="en-US"/>
        </w:rPr>
      </w:pPr>
      <w:r w:rsidRPr="00744AB2">
        <w:rPr>
          <w:b/>
          <w:bCs/>
          <w:lang w:val="en-US"/>
        </w:rPr>
        <w:t>15-Year Projections</w:t>
      </w:r>
      <w:r w:rsidRPr="00744AB2">
        <w:rPr>
          <w:lang w:val="en-US"/>
        </w:rPr>
        <w:t>: Dynamic annual forecasts in RWF and EUR across income statement, balance sheet, and cash flow components.</w:t>
      </w:r>
    </w:p>
    <w:p w14:paraId="5F0A4921" w14:textId="77777777" w:rsidR="004711A5" w:rsidRPr="00744AB2" w:rsidRDefault="004711A5" w:rsidP="00744AB2">
      <w:pPr>
        <w:numPr>
          <w:ilvl w:val="0"/>
          <w:numId w:val="22"/>
        </w:numPr>
        <w:tabs>
          <w:tab w:val="clear" w:pos="720"/>
          <w:tab w:val="num" w:pos="2880"/>
        </w:tabs>
        <w:ind w:left="1440"/>
        <w:jc w:val="both"/>
        <w:rPr>
          <w:lang w:val="en-US"/>
        </w:rPr>
      </w:pPr>
      <w:r w:rsidRPr="00744AB2">
        <w:rPr>
          <w:b/>
          <w:bCs/>
          <w:lang w:val="en-US"/>
        </w:rPr>
        <w:t>Investment Module</w:t>
      </w:r>
      <w:r w:rsidRPr="00744AB2">
        <w:rPr>
          <w:lang w:val="en-US"/>
        </w:rPr>
        <w:t>: Simulation of portfolio allocation and performance based on deal structures, risk metrics (PD, LGD), capital deployment, and reinvestment strategies.</w:t>
      </w:r>
    </w:p>
    <w:p w14:paraId="28A46CB4" w14:textId="77777777" w:rsidR="004711A5" w:rsidRPr="00744AB2" w:rsidRDefault="004711A5" w:rsidP="00744AB2">
      <w:pPr>
        <w:numPr>
          <w:ilvl w:val="0"/>
          <w:numId w:val="22"/>
        </w:numPr>
        <w:tabs>
          <w:tab w:val="clear" w:pos="720"/>
          <w:tab w:val="num" w:pos="2880"/>
        </w:tabs>
        <w:ind w:left="1440"/>
        <w:jc w:val="both"/>
        <w:rPr>
          <w:lang w:val="en-US"/>
        </w:rPr>
      </w:pPr>
      <w:r w:rsidRPr="00744AB2">
        <w:rPr>
          <w:b/>
          <w:bCs/>
          <w:lang w:val="en-US"/>
        </w:rPr>
        <w:t>Funding Module</w:t>
      </w:r>
      <w:r w:rsidRPr="00744AB2">
        <w:rPr>
          <w:lang w:val="en-US"/>
        </w:rPr>
        <w:t>: Debt modelling (existing and future financing), including gearing ratios and debt servicing capacity (DSCR).</w:t>
      </w:r>
    </w:p>
    <w:p w14:paraId="46EAF694" w14:textId="77777777" w:rsidR="004711A5" w:rsidRPr="00744AB2" w:rsidRDefault="004711A5" w:rsidP="00744AB2">
      <w:pPr>
        <w:numPr>
          <w:ilvl w:val="0"/>
          <w:numId w:val="22"/>
        </w:numPr>
        <w:tabs>
          <w:tab w:val="clear" w:pos="720"/>
          <w:tab w:val="num" w:pos="2880"/>
        </w:tabs>
        <w:ind w:left="1440"/>
        <w:jc w:val="both"/>
        <w:rPr>
          <w:lang w:val="en-US"/>
        </w:rPr>
      </w:pPr>
      <w:r w:rsidRPr="00744AB2">
        <w:rPr>
          <w:b/>
          <w:bCs/>
          <w:lang w:val="en-US"/>
        </w:rPr>
        <w:t>Scenario and Sensitivity Analysis</w:t>
      </w:r>
      <w:r w:rsidRPr="00744AB2">
        <w:rPr>
          <w:lang w:val="en-US"/>
        </w:rPr>
        <w:t>: Built-in stress-testing (e.g., macro shocks, delays in inflows, underperformance), with automated scenario switching (base, downside, upside).</w:t>
      </w:r>
    </w:p>
    <w:p w14:paraId="3F0266A7" w14:textId="77777777" w:rsidR="004711A5" w:rsidRPr="00744AB2" w:rsidRDefault="004711A5" w:rsidP="00744AB2">
      <w:pPr>
        <w:numPr>
          <w:ilvl w:val="0"/>
          <w:numId w:val="22"/>
        </w:numPr>
        <w:tabs>
          <w:tab w:val="clear" w:pos="720"/>
          <w:tab w:val="num" w:pos="2880"/>
        </w:tabs>
        <w:ind w:left="1440"/>
        <w:jc w:val="both"/>
        <w:rPr>
          <w:lang w:val="en-US"/>
        </w:rPr>
      </w:pPr>
      <w:r w:rsidRPr="00744AB2">
        <w:rPr>
          <w:b/>
          <w:bCs/>
          <w:lang w:val="en-US"/>
        </w:rPr>
        <w:t>Dashboards and Reporting</w:t>
      </w:r>
      <w:r w:rsidRPr="00744AB2">
        <w:rPr>
          <w:lang w:val="en-US"/>
        </w:rPr>
        <w:t>: Summary dashboards featuring key financial ratios (NAV, IRR, DSCR, liquidity), capital flows, impact metrics, and one-page printable outputs.</w:t>
      </w:r>
    </w:p>
    <w:p w14:paraId="5A28FB2B" w14:textId="77777777" w:rsidR="004711A5" w:rsidRPr="00744AB2" w:rsidRDefault="004711A5" w:rsidP="00744AB2">
      <w:pPr>
        <w:numPr>
          <w:ilvl w:val="0"/>
          <w:numId w:val="22"/>
        </w:numPr>
        <w:tabs>
          <w:tab w:val="clear" w:pos="720"/>
          <w:tab w:val="num" w:pos="2880"/>
        </w:tabs>
        <w:ind w:left="1440"/>
        <w:jc w:val="both"/>
        <w:rPr>
          <w:lang w:val="en-US"/>
        </w:rPr>
      </w:pPr>
      <w:r w:rsidRPr="00744AB2">
        <w:rPr>
          <w:b/>
          <w:bCs/>
          <w:lang w:val="en-US"/>
        </w:rPr>
        <w:t>Technology</w:t>
      </w:r>
      <w:r w:rsidRPr="00744AB2">
        <w:rPr>
          <w:lang w:val="en-US"/>
        </w:rPr>
        <w:t>: Preferably Excel-based (using VBA, Power Query/Pivot), with optional Power BI integration for enhanced visualization depending on client capacity.</w:t>
      </w:r>
    </w:p>
    <w:p w14:paraId="479BE267" w14:textId="77777777" w:rsidR="004711A5" w:rsidRPr="00744AB2" w:rsidRDefault="004711A5" w:rsidP="00744AB2">
      <w:pPr>
        <w:ind w:left="1440"/>
        <w:jc w:val="both"/>
        <w:rPr>
          <w:lang w:val="en-US"/>
        </w:rPr>
      </w:pPr>
    </w:p>
    <w:p w14:paraId="71388D0A" w14:textId="77777777" w:rsidR="004711A5" w:rsidRPr="00744AB2" w:rsidRDefault="004711A5" w:rsidP="00BC2FFB">
      <w:pPr>
        <w:ind w:left="720"/>
        <w:jc w:val="both"/>
      </w:pPr>
      <w:r w:rsidRPr="00744AB2">
        <w:rPr>
          <w:b/>
          <w:bCs/>
        </w:rPr>
        <w:t xml:space="preserve">3. Strategic Use and </w:t>
      </w:r>
      <w:proofErr w:type="gramStart"/>
      <w:r w:rsidRPr="00744AB2">
        <w:rPr>
          <w:b/>
          <w:bCs/>
        </w:rPr>
        <w:t>Training:</w:t>
      </w:r>
      <w:proofErr w:type="gramEnd"/>
    </w:p>
    <w:p w14:paraId="2187B278" w14:textId="77777777" w:rsidR="004711A5" w:rsidRPr="00744AB2" w:rsidRDefault="004711A5" w:rsidP="00744AB2">
      <w:pPr>
        <w:numPr>
          <w:ilvl w:val="0"/>
          <w:numId w:val="23"/>
        </w:numPr>
        <w:tabs>
          <w:tab w:val="clear" w:pos="720"/>
          <w:tab w:val="num" w:pos="2880"/>
        </w:tabs>
        <w:ind w:left="1440"/>
        <w:jc w:val="both"/>
        <w:rPr>
          <w:lang w:val="en-US"/>
        </w:rPr>
      </w:pPr>
      <w:r w:rsidRPr="00744AB2">
        <w:rPr>
          <w:lang w:val="en-US"/>
        </w:rPr>
        <w:t xml:space="preserve">Co-develop and test strategic scenarios with </w:t>
      </w:r>
      <w:proofErr w:type="spellStart"/>
      <w:r w:rsidRPr="00744AB2">
        <w:rPr>
          <w:lang w:val="en-US"/>
        </w:rPr>
        <w:t>Agaciro</w:t>
      </w:r>
      <w:proofErr w:type="spellEnd"/>
      <w:r w:rsidRPr="00744AB2">
        <w:rPr>
          <w:lang w:val="en-US"/>
        </w:rPr>
        <w:t xml:space="preserve"> (e.g., disbursement vs. accumulation strategies, asset reallocation, long-term capital planning).</w:t>
      </w:r>
    </w:p>
    <w:p w14:paraId="6DD6668E" w14:textId="77777777" w:rsidR="004711A5" w:rsidRPr="00744AB2" w:rsidRDefault="004711A5" w:rsidP="00744AB2">
      <w:pPr>
        <w:numPr>
          <w:ilvl w:val="0"/>
          <w:numId w:val="23"/>
        </w:numPr>
        <w:tabs>
          <w:tab w:val="clear" w:pos="720"/>
          <w:tab w:val="num" w:pos="2880"/>
        </w:tabs>
        <w:ind w:left="1440"/>
        <w:jc w:val="both"/>
        <w:rPr>
          <w:lang w:val="en-US"/>
        </w:rPr>
      </w:pPr>
      <w:r w:rsidRPr="00744AB2">
        <w:rPr>
          <w:lang w:val="en-US"/>
        </w:rPr>
        <w:t>Assess stress scenarios related to macro-financial volatility (e.g., FX fluctuations, commodity prices).</w:t>
      </w:r>
    </w:p>
    <w:p w14:paraId="552941EE" w14:textId="77777777" w:rsidR="004711A5" w:rsidRPr="00744AB2" w:rsidRDefault="004711A5" w:rsidP="00744AB2">
      <w:pPr>
        <w:numPr>
          <w:ilvl w:val="0"/>
          <w:numId w:val="23"/>
        </w:numPr>
        <w:tabs>
          <w:tab w:val="clear" w:pos="720"/>
          <w:tab w:val="num" w:pos="2880"/>
        </w:tabs>
        <w:ind w:left="1440"/>
        <w:jc w:val="both"/>
        <w:rPr>
          <w:lang w:val="en-US"/>
        </w:rPr>
      </w:pPr>
      <w:r w:rsidRPr="00744AB2">
        <w:rPr>
          <w:lang w:val="en-US"/>
        </w:rPr>
        <w:t>Deliver a strategic analysis memo highlighting insights, risks, and recommendations derived from model simulations.</w:t>
      </w:r>
    </w:p>
    <w:p w14:paraId="2AD33A7A" w14:textId="77777777" w:rsidR="004711A5" w:rsidRPr="00744AB2" w:rsidRDefault="004711A5" w:rsidP="00744AB2">
      <w:pPr>
        <w:numPr>
          <w:ilvl w:val="0"/>
          <w:numId w:val="23"/>
        </w:numPr>
        <w:tabs>
          <w:tab w:val="clear" w:pos="720"/>
          <w:tab w:val="num" w:pos="2880"/>
        </w:tabs>
        <w:ind w:left="1440"/>
        <w:jc w:val="both"/>
        <w:rPr>
          <w:lang w:val="en-US"/>
        </w:rPr>
      </w:pPr>
      <w:r w:rsidRPr="00744AB2">
        <w:rPr>
          <w:lang w:val="en-US"/>
        </w:rPr>
        <w:t xml:space="preserve">Conduct a capacity-building session to ensure </w:t>
      </w:r>
      <w:proofErr w:type="spellStart"/>
      <w:r w:rsidRPr="00744AB2">
        <w:rPr>
          <w:lang w:val="en-US"/>
        </w:rPr>
        <w:t>Agaciro</w:t>
      </w:r>
      <w:proofErr w:type="spellEnd"/>
      <w:r w:rsidRPr="00744AB2">
        <w:rPr>
          <w:lang w:val="en-US"/>
        </w:rPr>
        <w:t xml:space="preserve"> teams are equipped to independently operate and update the model.</w:t>
      </w:r>
    </w:p>
    <w:p w14:paraId="5CCE7201" w14:textId="77777777" w:rsidR="004711A5" w:rsidRPr="00744AB2" w:rsidRDefault="004711A5" w:rsidP="00744AB2">
      <w:pPr>
        <w:ind w:left="720"/>
        <w:jc w:val="both"/>
        <w:rPr>
          <w:lang w:val="en-US"/>
        </w:rPr>
      </w:pPr>
    </w:p>
    <w:p w14:paraId="5A083DE7" w14:textId="486D49A8" w:rsidR="004711A5" w:rsidRPr="00744AB2" w:rsidRDefault="004711A5" w:rsidP="00744AB2">
      <w:pPr>
        <w:ind w:left="720"/>
        <w:jc w:val="both"/>
        <w:rPr>
          <w:b/>
          <w:u w:val="single"/>
          <w:lang w:val="en-US"/>
        </w:rPr>
      </w:pPr>
      <w:r w:rsidRPr="00744AB2">
        <w:rPr>
          <w:b/>
          <w:u w:val="single"/>
          <w:lang w:val="en-US"/>
        </w:rPr>
        <w:t xml:space="preserve">Component C – Design of the </w:t>
      </w:r>
      <w:proofErr w:type="gramStart"/>
      <w:r w:rsidRPr="00744AB2">
        <w:rPr>
          <w:b/>
          <w:u w:val="single"/>
          <w:lang w:val="en-US"/>
        </w:rPr>
        <w:t>asset based</w:t>
      </w:r>
      <w:proofErr w:type="gramEnd"/>
      <w:r w:rsidRPr="00744AB2">
        <w:rPr>
          <w:b/>
          <w:u w:val="single"/>
          <w:lang w:val="en-US"/>
        </w:rPr>
        <w:t xml:space="preserve"> loan facility and its technical assistance program</w:t>
      </w:r>
    </w:p>
    <w:p w14:paraId="5C3DD885" w14:textId="77777777" w:rsidR="004711A5" w:rsidRPr="00744AB2" w:rsidRDefault="004711A5" w:rsidP="00744AB2">
      <w:pPr>
        <w:pStyle w:val="Paragraphedeliste"/>
        <w:numPr>
          <w:ilvl w:val="0"/>
          <w:numId w:val="29"/>
        </w:numPr>
        <w:ind w:left="1800"/>
        <w:rPr>
          <w:rFonts w:ascii="Times New Roman" w:hAnsi="Times New Roman"/>
          <w:sz w:val="24"/>
          <w:szCs w:val="24"/>
          <w:lang w:val="en-US"/>
        </w:rPr>
      </w:pPr>
      <w:r w:rsidRPr="00744AB2">
        <w:rPr>
          <w:rFonts w:ascii="Times New Roman" w:hAnsi="Times New Roman"/>
          <w:sz w:val="24"/>
          <w:szCs w:val="24"/>
          <w:lang w:val="en-US"/>
        </w:rPr>
        <w:t>Propose eligibility and disbursement criteria for a credit facility.</w:t>
      </w:r>
    </w:p>
    <w:p w14:paraId="08C39281" w14:textId="77777777" w:rsidR="004711A5" w:rsidRPr="00744AB2" w:rsidRDefault="004711A5" w:rsidP="00744AB2">
      <w:pPr>
        <w:pStyle w:val="Paragraphedeliste"/>
        <w:numPr>
          <w:ilvl w:val="0"/>
          <w:numId w:val="29"/>
        </w:numPr>
        <w:ind w:left="1800"/>
        <w:rPr>
          <w:rFonts w:ascii="Times New Roman" w:hAnsi="Times New Roman"/>
          <w:sz w:val="24"/>
          <w:szCs w:val="24"/>
          <w:lang w:val="en-US"/>
        </w:rPr>
      </w:pPr>
      <w:r w:rsidRPr="00744AB2">
        <w:rPr>
          <w:rFonts w:ascii="Times New Roman" w:hAnsi="Times New Roman"/>
          <w:sz w:val="24"/>
          <w:szCs w:val="24"/>
          <w:lang w:val="en-US"/>
        </w:rPr>
        <w:t xml:space="preserve">Size the financing needs and potential leverage capacity of </w:t>
      </w:r>
      <w:proofErr w:type="spellStart"/>
      <w:r w:rsidRPr="00744AB2">
        <w:rPr>
          <w:rFonts w:ascii="Times New Roman" w:hAnsi="Times New Roman"/>
          <w:sz w:val="24"/>
          <w:szCs w:val="24"/>
          <w:lang w:val="en-US"/>
        </w:rPr>
        <w:t>Agaciro</w:t>
      </w:r>
      <w:proofErr w:type="spellEnd"/>
      <w:r w:rsidRPr="00744AB2">
        <w:rPr>
          <w:rFonts w:ascii="Times New Roman" w:hAnsi="Times New Roman"/>
          <w:sz w:val="24"/>
          <w:szCs w:val="24"/>
          <w:lang w:val="en-US"/>
        </w:rPr>
        <w:t>.</w:t>
      </w:r>
    </w:p>
    <w:p w14:paraId="747C3C33" w14:textId="77777777" w:rsidR="004711A5" w:rsidRPr="00744AB2" w:rsidRDefault="004711A5" w:rsidP="00744AB2">
      <w:pPr>
        <w:pStyle w:val="Paragraphedeliste"/>
        <w:numPr>
          <w:ilvl w:val="0"/>
          <w:numId w:val="30"/>
        </w:numPr>
        <w:ind w:left="1800"/>
        <w:rPr>
          <w:rFonts w:ascii="Times New Roman" w:hAnsi="Times New Roman"/>
          <w:sz w:val="24"/>
          <w:szCs w:val="24"/>
          <w:lang w:val="en-US"/>
        </w:rPr>
      </w:pPr>
      <w:r w:rsidRPr="00744AB2">
        <w:rPr>
          <w:rFonts w:ascii="Times New Roman" w:hAnsi="Times New Roman"/>
          <w:sz w:val="24"/>
          <w:szCs w:val="24"/>
          <w:lang w:val="en-US"/>
        </w:rPr>
        <w:t>Develop a TA program (</w:t>
      </w:r>
      <w:proofErr w:type="spellStart"/>
      <w:r w:rsidRPr="00744AB2">
        <w:rPr>
          <w:rFonts w:ascii="Times New Roman" w:hAnsi="Times New Roman"/>
          <w:sz w:val="24"/>
          <w:szCs w:val="24"/>
          <w:lang w:val="en-US"/>
        </w:rPr>
        <w:t>logframe</w:t>
      </w:r>
      <w:proofErr w:type="spellEnd"/>
      <w:r w:rsidRPr="00744AB2">
        <w:rPr>
          <w:rFonts w:ascii="Times New Roman" w:hAnsi="Times New Roman"/>
          <w:sz w:val="24"/>
          <w:szCs w:val="24"/>
          <w:lang w:val="en-US"/>
        </w:rPr>
        <w:t>, workstreams, budget, KPIs), including:</w:t>
      </w:r>
    </w:p>
    <w:p w14:paraId="697BA9EB" w14:textId="77777777" w:rsidR="004711A5" w:rsidRPr="00744AB2" w:rsidRDefault="004711A5" w:rsidP="00744AB2">
      <w:pPr>
        <w:pStyle w:val="Paragraphedeliste"/>
        <w:numPr>
          <w:ilvl w:val="1"/>
          <w:numId w:val="30"/>
        </w:numPr>
        <w:ind w:left="2520"/>
        <w:rPr>
          <w:rFonts w:ascii="Times New Roman" w:hAnsi="Times New Roman"/>
          <w:sz w:val="24"/>
          <w:szCs w:val="24"/>
          <w:lang w:val="en-US"/>
        </w:rPr>
      </w:pPr>
      <w:r w:rsidRPr="00744AB2">
        <w:rPr>
          <w:rFonts w:ascii="Times New Roman" w:hAnsi="Times New Roman"/>
          <w:sz w:val="24"/>
          <w:szCs w:val="24"/>
          <w:lang w:val="en-US"/>
        </w:rPr>
        <w:t>Governance and institutional strengthening.</w:t>
      </w:r>
    </w:p>
    <w:p w14:paraId="4E0826AE" w14:textId="77777777" w:rsidR="004711A5" w:rsidRPr="00744AB2" w:rsidRDefault="004711A5" w:rsidP="00744AB2">
      <w:pPr>
        <w:pStyle w:val="Paragraphedeliste"/>
        <w:numPr>
          <w:ilvl w:val="1"/>
          <w:numId w:val="30"/>
        </w:numPr>
        <w:ind w:left="2520"/>
        <w:rPr>
          <w:rFonts w:ascii="Times New Roman" w:hAnsi="Times New Roman"/>
          <w:sz w:val="24"/>
          <w:szCs w:val="24"/>
          <w:lang w:val="en-US"/>
        </w:rPr>
      </w:pPr>
      <w:r w:rsidRPr="00744AB2">
        <w:rPr>
          <w:rFonts w:ascii="Times New Roman" w:hAnsi="Times New Roman"/>
          <w:sz w:val="24"/>
          <w:szCs w:val="24"/>
          <w:lang w:val="en-US"/>
        </w:rPr>
        <w:lastRenderedPageBreak/>
        <w:t>ESG and climate finance integration.</w:t>
      </w:r>
    </w:p>
    <w:p w14:paraId="43A5973A" w14:textId="77777777" w:rsidR="00744AB2" w:rsidRDefault="004711A5" w:rsidP="00CB6AC9">
      <w:pPr>
        <w:pStyle w:val="Paragraphedeliste"/>
        <w:numPr>
          <w:ilvl w:val="1"/>
          <w:numId w:val="30"/>
        </w:numPr>
        <w:ind w:left="2520"/>
        <w:jc w:val="left"/>
        <w:rPr>
          <w:rFonts w:ascii="Times New Roman" w:hAnsi="Times New Roman"/>
          <w:sz w:val="24"/>
          <w:szCs w:val="24"/>
          <w:lang w:val="en-US"/>
        </w:rPr>
      </w:pPr>
      <w:r w:rsidRPr="00744AB2">
        <w:rPr>
          <w:rFonts w:ascii="Times New Roman" w:hAnsi="Times New Roman"/>
          <w:sz w:val="24"/>
          <w:szCs w:val="24"/>
          <w:lang w:val="en-US"/>
        </w:rPr>
        <w:t>Investment policy implementation.</w:t>
      </w:r>
    </w:p>
    <w:p w14:paraId="7EA6D8F3" w14:textId="77777777" w:rsidR="00744AB2" w:rsidRPr="00744AB2" w:rsidRDefault="00744AB2" w:rsidP="00744AB2">
      <w:pPr>
        <w:pStyle w:val="Paragraphedeliste"/>
        <w:numPr>
          <w:ilvl w:val="1"/>
          <w:numId w:val="30"/>
        </w:numPr>
        <w:ind w:left="2520"/>
        <w:jc w:val="left"/>
        <w:rPr>
          <w:rFonts w:ascii="Times New Roman" w:hAnsi="Times New Roman"/>
          <w:sz w:val="24"/>
          <w:szCs w:val="24"/>
          <w:lang w:val="en-US"/>
        </w:rPr>
      </w:pPr>
      <w:r w:rsidRPr="00744AB2">
        <w:rPr>
          <w:rFonts w:ascii="Times New Roman" w:hAnsi="Times New Roman"/>
          <w:sz w:val="24"/>
          <w:szCs w:val="24"/>
          <w:lang w:val="en-US"/>
        </w:rPr>
        <w:t>Systems and risk management tools.</w:t>
      </w:r>
    </w:p>
    <w:p w14:paraId="65301E3B" w14:textId="2B80E623" w:rsidR="000B3712" w:rsidRPr="00744AB2" w:rsidRDefault="004711A5" w:rsidP="00744AB2">
      <w:pPr>
        <w:pStyle w:val="Paragraphedeliste"/>
        <w:numPr>
          <w:ilvl w:val="0"/>
          <w:numId w:val="30"/>
        </w:numPr>
        <w:ind w:left="1800"/>
        <w:rPr>
          <w:rFonts w:ascii="Times New Roman" w:hAnsi="Times New Roman"/>
          <w:sz w:val="24"/>
          <w:szCs w:val="24"/>
          <w:lang w:val="en-US"/>
        </w:rPr>
      </w:pPr>
      <w:r w:rsidRPr="00744AB2">
        <w:rPr>
          <w:rFonts w:ascii="Times New Roman" w:hAnsi="Times New Roman"/>
          <w:sz w:val="24"/>
          <w:szCs w:val="24"/>
          <w:lang w:val="en-US"/>
        </w:rPr>
        <w:t xml:space="preserve">Ensure TA alignment with </w:t>
      </w:r>
      <w:proofErr w:type="spellStart"/>
      <w:r w:rsidRPr="00744AB2">
        <w:rPr>
          <w:rFonts w:ascii="Times New Roman" w:hAnsi="Times New Roman"/>
          <w:sz w:val="24"/>
          <w:szCs w:val="24"/>
          <w:lang w:val="en-US"/>
        </w:rPr>
        <w:t>Agaciro’s</w:t>
      </w:r>
      <w:proofErr w:type="spellEnd"/>
      <w:r w:rsidRPr="00744AB2">
        <w:rPr>
          <w:rFonts w:ascii="Times New Roman" w:hAnsi="Times New Roman"/>
          <w:sz w:val="24"/>
          <w:szCs w:val="24"/>
          <w:lang w:val="en-US"/>
        </w:rPr>
        <w:t xml:space="preserve"> IPS and Rwanda’s national development and climate strategies.</w:t>
      </w:r>
    </w:p>
    <w:p w14:paraId="0985A0F6" w14:textId="77777777" w:rsidR="00562AAD" w:rsidRPr="00744AB2" w:rsidRDefault="00562AAD" w:rsidP="00744AB2">
      <w:pPr>
        <w:pStyle w:val="Titre2"/>
        <w:tabs>
          <w:tab w:val="num" w:pos="3230"/>
        </w:tabs>
        <w:ind w:left="1790"/>
        <w:rPr>
          <w:rFonts w:ascii="Times New Roman" w:hAnsi="Times New Roman" w:cs="Times New Roman"/>
          <w:sz w:val="24"/>
          <w:szCs w:val="24"/>
        </w:rPr>
      </w:pPr>
      <w:bookmarkStart w:id="81" w:name="_Toc198501409"/>
      <w:bookmarkStart w:id="82" w:name="_Toc206579955"/>
      <w:bookmarkEnd w:id="21"/>
      <w:proofErr w:type="spellStart"/>
      <w:r w:rsidRPr="00744AB2">
        <w:rPr>
          <w:rFonts w:ascii="Times New Roman" w:hAnsi="Times New Roman" w:cs="Times New Roman"/>
          <w:sz w:val="24"/>
          <w:szCs w:val="24"/>
        </w:rPr>
        <w:t>Expected</w:t>
      </w:r>
      <w:proofErr w:type="spellEnd"/>
      <w:r w:rsidRPr="00744AB2">
        <w:rPr>
          <w:rFonts w:ascii="Times New Roman" w:hAnsi="Times New Roman" w:cs="Times New Roman"/>
          <w:sz w:val="24"/>
          <w:szCs w:val="24"/>
        </w:rPr>
        <w:t xml:space="preserve"> </w:t>
      </w:r>
      <w:proofErr w:type="spellStart"/>
      <w:r w:rsidRPr="00744AB2">
        <w:rPr>
          <w:rFonts w:ascii="Times New Roman" w:hAnsi="Times New Roman" w:cs="Times New Roman"/>
          <w:sz w:val="24"/>
          <w:szCs w:val="24"/>
        </w:rPr>
        <w:t>deliverables</w:t>
      </w:r>
      <w:bookmarkEnd w:id="81"/>
      <w:bookmarkEnd w:id="82"/>
      <w:proofErr w:type="spellEnd"/>
    </w:p>
    <w:p w14:paraId="1DB4DC05" w14:textId="77777777" w:rsidR="0076380F" w:rsidRPr="00744AB2" w:rsidRDefault="0076380F" w:rsidP="00744AB2">
      <w:pPr>
        <w:ind w:left="720"/>
        <w:rPr>
          <w:rStyle w:val="lev"/>
          <w:lang w:val="en-US"/>
        </w:rPr>
      </w:pPr>
    </w:p>
    <w:p w14:paraId="5659A324" w14:textId="7C35B68F" w:rsidR="004711A5" w:rsidRPr="00744AB2" w:rsidRDefault="0076380F" w:rsidP="00FD35DF">
      <w:pPr>
        <w:ind w:left="720"/>
        <w:rPr>
          <w:rStyle w:val="lev"/>
          <w:lang w:val="en-US"/>
        </w:rPr>
      </w:pPr>
      <w:r w:rsidRPr="00744AB2">
        <w:rPr>
          <w:rStyle w:val="lev"/>
          <w:lang w:val="en-US"/>
        </w:rPr>
        <w:t>The expected deliverables are as follows:</w:t>
      </w:r>
    </w:p>
    <w:p w14:paraId="5E4CBC91" w14:textId="77777777" w:rsidR="004711A5" w:rsidRPr="00744AB2" w:rsidRDefault="004711A5" w:rsidP="009F7FC3">
      <w:pPr>
        <w:pStyle w:val="Paragraphedeliste"/>
        <w:numPr>
          <w:ilvl w:val="0"/>
          <w:numId w:val="34"/>
        </w:numPr>
        <w:spacing w:after="200"/>
        <w:ind w:left="1440"/>
        <w:rPr>
          <w:rFonts w:ascii="Times New Roman" w:hAnsi="Times New Roman"/>
          <w:sz w:val="24"/>
          <w:szCs w:val="24"/>
        </w:rPr>
      </w:pPr>
      <w:r w:rsidRPr="00744AB2">
        <w:rPr>
          <w:rFonts w:ascii="Times New Roman" w:hAnsi="Times New Roman"/>
          <w:sz w:val="24"/>
          <w:szCs w:val="24"/>
        </w:rPr>
        <w:t xml:space="preserve">Inception </w:t>
      </w:r>
      <w:proofErr w:type="gramStart"/>
      <w:r w:rsidRPr="00744AB2">
        <w:rPr>
          <w:rFonts w:ascii="Times New Roman" w:hAnsi="Times New Roman"/>
          <w:sz w:val="24"/>
          <w:szCs w:val="24"/>
        </w:rPr>
        <w:t>Report:</w:t>
      </w:r>
      <w:proofErr w:type="gramEnd"/>
    </w:p>
    <w:p w14:paraId="40EAFE30" w14:textId="77777777" w:rsidR="004711A5" w:rsidRPr="00744AB2" w:rsidRDefault="004711A5" w:rsidP="009F7FC3">
      <w:pPr>
        <w:pStyle w:val="Paragraphedeliste"/>
        <w:numPr>
          <w:ilvl w:val="1"/>
          <w:numId w:val="34"/>
        </w:numPr>
        <w:spacing w:after="200"/>
        <w:ind w:left="2160"/>
        <w:rPr>
          <w:rFonts w:ascii="Times New Roman" w:hAnsi="Times New Roman"/>
          <w:sz w:val="24"/>
          <w:szCs w:val="24"/>
          <w:lang w:val="en-US"/>
        </w:rPr>
      </w:pPr>
      <w:r w:rsidRPr="00744AB2">
        <w:rPr>
          <w:rFonts w:ascii="Times New Roman" w:hAnsi="Times New Roman"/>
          <w:sz w:val="24"/>
          <w:szCs w:val="24"/>
          <w:lang w:val="en-US"/>
        </w:rPr>
        <w:t>Methodology, work plan, data needs, and timeline.</w:t>
      </w:r>
    </w:p>
    <w:p w14:paraId="1226466A" w14:textId="77777777" w:rsidR="004711A5" w:rsidRPr="00744AB2" w:rsidRDefault="004711A5" w:rsidP="009F7FC3">
      <w:pPr>
        <w:pStyle w:val="Paragraphedeliste"/>
        <w:numPr>
          <w:ilvl w:val="0"/>
          <w:numId w:val="34"/>
        </w:numPr>
        <w:spacing w:after="200"/>
        <w:ind w:left="1440"/>
        <w:rPr>
          <w:rFonts w:ascii="Times New Roman" w:hAnsi="Times New Roman"/>
          <w:sz w:val="24"/>
          <w:szCs w:val="24"/>
        </w:rPr>
      </w:pPr>
      <w:proofErr w:type="spellStart"/>
      <w:r w:rsidRPr="00744AB2">
        <w:rPr>
          <w:rFonts w:ascii="Times New Roman" w:hAnsi="Times New Roman"/>
          <w:sz w:val="24"/>
          <w:szCs w:val="24"/>
        </w:rPr>
        <w:t>Institutional</w:t>
      </w:r>
      <w:proofErr w:type="spellEnd"/>
      <w:r w:rsidRPr="00744AB2">
        <w:rPr>
          <w:rFonts w:ascii="Times New Roman" w:hAnsi="Times New Roman"/>
          <w:sz w:val="24"/>
          <w:szCs w:val="24"/>
        </w:rPr>
        <w:t xml:space="preserve"> </w:t>
      </w:r>
      <w:proofErr w:type="spellStart"/>
      <w:r w:rsidRPr="00744AB2">
        <w:rPr>
          <w:rFonts w:ascii="Times New Roman" w:hAnsi="Times New Roman"/>
          <w:sz w:val="24"/>
          <w:szCs w:val="24"/>
        </w:rPr>
        <w:t>Diagnosis</w:t>
      </w:r>
      <w:proofErr w:type="spellEnd"/>
      <w:r w:rsidRPr="00744AB2">
        <w:rPr>
          <w:rFonts w:ascii="Times New Roman" w:hAnsi="Times New Roman"/>
          <w:sz w:val="24"/>
          <w:szCs w:val="24"/>
        </w:rPr>
        <w:t xml:space="preserve"> </w:t>
      </w:r>
      <w:proofErr w:type="gramStart"/>
      <w:r w:rsidRPr="00744AB2">
        <w:rPr>
          <w:rFonts w:ascii="Times New Roman" w:hAnsi="Times New Roman"/>
          <w:sz w:val="24"/>
          <w:szCs w:val="24"/>
        </w:rPr>
        <w:t>Report:</w:t>
      </w:r>
      <w:proofErr w:type="gramEnd"/>
    </w:p>
    <w:p w14:paraId="61681537" w14:textId="77777777" w:rsidR="004711A5" w:rsidRPr="00744AB2" w:rsidRDefault="004711A5" w:rsidP="009F7FC3">
      <w:pPr>
        <w:pStyle w:val="Paragraphedeliste"/>
        <w:numPr>
          <w:ilvl w:val="1"/>
          <w:numId w:val="34"/>
        </w:numPr>
        <w:spacing w:after="200"/>
        <w:ind w:left="2160"/>
        <w:rPr>
          <w:rFonts w:ascii="Times New Roman" w:hAnsi="Times New Roman"/>
          <w:sz w:val="24"/>
          <w:szCs w:val="24"/>
          <w:lang w:val="en-US"/>
        </w:rPr>
      </w:pPr>
      <w:r w:rsidRPr="00744AB2">
        <w:rPr>
          <w:rFonts w:ascii="Times New Roman" w:hAnsi="Times New Roman"/>
          <w:sz w:val="24"/>
          <w:szCs w:val="24"/>
          <w:lang w:val="en-US"/>
        </w:rPr>
        <w:t>Analysis of strengths, weaknesses, risks, and capacity gaps.</w:t>
      </w:r>
    </w:p>
    <w:p w14:paraId="7102CE79" w14:textId="77777777" w:rsidR="004711A5" w:rsidRPr="00744AB2" w:rsidRDefault="004711A5" w:rsidP="009F7FC3">
      <w:pPr>
        <w:pStyle w:val="Paragraphedeliste"/>
        <w:numPr>
          <w:ilvl w:val="0"/>
          <w:numId w:val="34"/>
        </w:numPr>
        <w:spacing w:after="200"/>
        <w:ind w:left="1440"/>
        <w:rPr>
          <w:rFonts w:ascii="Times New Roman" w:hAnsi="Times New Roman"/>
          <w:sz w:val="24"/>
          <w:szCs w:val="24"/>
          <w:lang w:val="en-US"/>
        </w:rPr>
      </w:pPr>
      <w:r w:rsidRPr="00744AB2">
        <w:rPr>
          <w:rFonts w:ascii="Times New Roman" w:hAnsi="Times New Roman"/>
          <w:sz w:val="24"/>
          <w:szCs w:val="24"/>
          <w:lang w:val="en-US"/>
        </w:rPr>
        <w:t>Financial Model and User Guide:</w:t>
      </w:r>
    </w:p>
    <w:p w14:paraId="13B7DC97" w14:textId="77777777" w:rsidR="004711A5" w:rsidRPr="00744AB2" w:rsidRDefault="004711A5" w:rsidP="009F7FC3">
      <w:pPr>
        <w:pStyle w:val="Paragraphedeliste"/>
        <w:numPr>
          <w:ilvl w:val="1"/>
          <w:numId w:val="34"/>
        </w:numPr>
        <w:spacing w:after="200"/>
        <w:ind w:left="2160"/>
        <w:rPr>
          <w:rFonts w:ascii="Times New Roman" w:hAnsi="Times New Roman"/>
          <w:sz w:val="24"/>
          <w:szCs w:val="24"/>
          <w:lang w:val="en-US"/>
        </w:rPr>
      </w:pPr>
      <w:r w:rsidRPr="00744AB2">
        <w:rPr>
          <w:rFonts w:ascii="Times New Roman" w:hAnsi="Times New Roman"/>
          <w:sz w:val="24"/>
          <w:szCs w:val="24"/>
          <w:lang w:val="en-US"/>
        </w:rPr>
        <w:t xml:space="preserve">Development of a forward-looking financial model tailored to </w:t>
      </w:r>
      <w:proofErr w:type="spellStart"/>
      <w:r w:rsidRPr="00744AB2">
        <w:rPr>
          <w:rFonts w:ascii="Times New Roman" w:hAnsi="Times New Roman"/>
          <w:sz w:val="24"/>
          <w:szCs w:val="24"/>
          <w:lang w:val="en-US"/>
        </w:rPr>
        <w:t>Agaciro</w:t>
      </w:r>
      <w:proofErr w:type="spellEnd"/>
      <w:r w:rsidRPr="00744AB2">
        <w:rPr>
          <w:rFonts w:ascii="Times New Roman" w:hAnsi="Times New Roman"/>
          <w:sz w:val="24"/>
          <w:szCs w:val="24"/>
          <w:lang w:val="en-US"/>
        </w:rPr>
        <w:t xml:space="preserve"> and a user guide to ensure internal ownership and use by the Fund’s teams;</w:t>
      </w:r>
    </w:p>
    <w:p w14:paraId="0F963E3D" w14:textId="77777777" w:rsidR="004711A5" w:rsidRPr="00744AB2" w:rsidRDefault="004711A5" w:rsidP="009F7FC3">
      <w:pPr>
        <w:pStyle w:val="Paragraphedeliste"/>
        <w:numPr>
          <w:ilvl w:val="1"/>
          <w:numId w:val="35"/>
        </w:numPr>
        <w:spacing w:after="200"/>
        <w:ind w:left="2160"/>
        <w:rPr>
          <w:rFonts w:ascii="Times New Roman" w:hAnsi="Times New Roman"/>
          <w:sz w:val="24"/>
          <w:szCs w:val="24"/>
          <w:lang w:val="en-US"/>
        </w:rPr>
      </w:pPr>
      <w:r w:rsidRPr="00744AB2">
        <w:rPr>
          <w:rFonts w:ascii="Times New Roman" w:hAnsi="Times New Roman"/>
          <w:sz w:val="24"/>
          <w:szCs w:val="24"/>
          <w:lang w:val="en-US"/>
        </w:rPr>
        <w:t xml:space="preserve">Sensitivity analyses based on relevant economic and financial assumptions, a summary note presenting key findings, and strategic recommendations for </w:t>
      </w:r>
      <w:proofErr w:type="spellStart"/>
      <w:r w:rsidRPr="00744AB2">
        <w:rPr>
          <w:rFonts w:ascii="Times New Roman" w:hAnsi="Times New Roman"/>
          <w:sz w:val="24"/>
          <w:szCs w:val="24"/>
          <w:lang w:val="en-US"/>
        </w:rPr>
        <w:t>Agaciro’s</w:t>
      </w:r>
      <w:proofErr w:type="spellEnd"/>
      <w:r w:rsidRPr="00744AB2">
        <w:rPr>
          <w:rFonts w:ascii="Times New Roman" w:hAnsi="Times New Roman"/>
          <w:sz w:val="24"/>
          <w:szCs w:val="24"/>
          <w:lang w:val="en-US"/>
        </w:rPr>
        <w:t xml:space="preserve"> investment and capitalization strategy;</w:t>
      </w:r>
    </w:p>
    <w:p w14:paraId="11DE522D" w14:textId="77777777" w:rsidR="004711A5" w:rsidRPr="00744AB2" w:rsidRDefault="004711A5" w:rsidP="009F7FC3">
      <w:pPr>
        <w:pStyle w:val="Paragraphedeliste"/>
        <w:numPr>
          <w:ilvl w:val="1"/>
          <w:numId w:val="35"/>
        </w:numPr>
        <w:spacing w:after="200"/>
        <w:ind w:left="2160"/>
        <w:rPr>
          <w:rFonts w:ascii="Times New Roman" w:hAnsi="Times New Roman"/>
          <w:sz w:val="24"/>
          <w:szCs w:val="24"/>
          <w:lang w:val="en-US"/>
        </w:rPr>
      </w:pPr>
      <w:r w:rsidRPr="00744AB2">
        <w:rPr>
          <w:rFonts w:ascii="Times New Roman" w:hAnsi="Times New Roman"/>
          <w:sz w:val="24"/>
          <w:szCs w:val="24"/>
          <w:lang w:val="en-US"/>
        </w:rPr>
        <w:t xml:space="preserve">Presentation of results to </w:t>
      </w:r>
      <w:proofErr w:type="spellStart"/>
      <w:r w:rsidRPr="00744AB2">
        <w:rPr>
          <w:rFonts w:ascii="Times New Roman" w:hAnsi="Times New Roman"/>
          <w:sz w:val="24"/>
          <w:szCs w:val="24"/>
          <w:lang w:val="en-US"/>
        </w:rPr>
        <w:t>Agaciro</w:t>
      </w:r>
      <w:proofErr w:type="spellEnd"/>
      <w:r w:rsidRPr="00744AB2">
        <w:rPr>
          <w:rFonts w:ascii="Times New Roman" w:hAnsi="Times New Roman"/>
          <w:sz w:val="24"/>
          <w:szCs w:val="24"/>
          <w:lang w:val="en-US"/>
        </w:rPr>
        <w:t xml:space="preserve">, along with a training session for </w:t>
      </w:r>
      <w:proofErr w:type="spellStart"/>
      <w:r w:rsidRPr="00744AB2">
        <w:rPr>
          <w:rFonts w:ascii="Times New Roman" w:hAnsi="Times New Roman"/>
          <w:sz w:val="24"/>
          <w:szCs w:val="24"/>
          <w:lang w:val="en-US"/>
        </w:rPr>
        <w:t>Agaciro’s</w:t>
      </w:r>
      <w:proofErr w:type="spellEnd"/>
      <w:r w:rsidRPr="00744AB2">
        <w:rPr>
          <w:rFonts w:ascii="Times New Roman" w:hAnsi="Times New Roman"/>
          <w:sz w:val="24"/>
          <w:szCs w:val="24"/>
          <w:lang w:val="en-US"/>
        </w:rPr>
        <w:t xml:space="preserve"> staff to ensure proper understanding and long-term use of the tool.</w:t>
      </w:r>
    </w:p>
    <w:p w14:paraId="3C4AC8BB" w14:textId="6A508512" w:rsidR="004711A5" w:rsidRDefault="004711A5" w:rsidP="009F7FC3">
      <w:pPr>
        <w:pStyle w:val="Paragraphedeliste"/>
        <w:numPr>
          <w:ilvl w:val="0"/>
          <w:numId w:val="34"/>
        </w:numPr>
        <w:spacing w:after="200"/>
        <w:ind w:left="1440"/>
        <w:rPr>
          <w:rFonts w:ascii="Times New Roman" w:hAnsi="Times New Roman"/>
          <w:sz w:val="24"/>
          <w:szCs w:val="24"/>
        </w:rPr>
      </w:pPr>
      <w:proofErr w:type="spellStart"/>
      <w:r w:rsidRPr="00744AB2">
        <w:rPr>
          <w:rFonts w:ascii="Times New Roman" w:hAnsi="Times New Roman"/>
          <w:sz w:val="24"/>
          <w:szCs w:val="24"/>
        </w:rPr>
        <w:t>Financing</w:t>
      </w:r>
      <w:proofErr w:type="spellEnd"/>
      <w:r w:rsidRPr="00744AB2">
        <w:rPr>
          <w:rFonts w:ascii="Times New Roman" w:hAnsi="Times New Roman"/>
          <w:sz w:val="24"/>
          <w:szCs w:val="24"/>
        </w:rPr>
        <w:t xml:space="preserve"> &amp; TA </w:t>
      </w:r>
      <w:proofErr w:type="spellStart"/>
      <w:r w:rsidRPr="00744AB2">
        <w:rPr>
          <w:rFonts w:ascii="Times New Roman" w:hAnsi="Times New Roman"/>
          <w:sz w:val="24"/>
          <w:szCs w:val="24"/>
        </w:rPr>
        <w:t>Structuring</w:t>
      </w:r>
      <w:proofErr w:type="spellEnd"/>
      <w:r w:rsidRPr="00744AB2">
        <w:rPr>
          <w:rFonts w:ascii="Times New Roman" w:hAnsi="Times New Roman"/>
          <w:sz w:val="24"/>
          <w:szCs w:val="24"/>
        </w:rPr>
        <w:t xml:space="preserve"> Note</w:t>
      </w:r>
      <w:r w:rsidR="009F7FC3">
        <w:rPr>
          <w:rFonts w:ascii="Times New Roman" w:hAnsi="Times New Roman"/>
          <w:sz w:val="24"/>
          <w:szCs w:val="24"/>
        </w:rPr>
        <w:t> :</w:t>
      </w:r>
    </w:p>
    <w:p w14:paraId="694B11DC" w14:textId="7FF90EB8" w:rsidR="009F7FC3" w:rsidRPr="009F7FC3" w:rsidRDefault="009F7FC3" w:rsidP="009F7FC3">
      <w:pPr>
        <w:pStyle w:val="Paragraphedeliste"/>
        <w:numPr>
          <w:ilvl w:val="1"/>
          <w:numId w:val="35"/>
        </w:numPr>
        <w:spacing w:after="200"/>
        <w:ind w:left="2160"/>
        <w:rPr>
          <w:rFonts w:ascii="Times New Roman" w:hAnsi="Times New Roman"/>
          <w:sz w:val="24"/>
          <w:szCs w:val="24"/>
          <w:lang w:val="en-US"/>
        </w:rPr>
      </w:pPr>
      <w:r w:rsidRPr="009F7FC3">
        <w:rPr>
          <w:rFonts w:ascii="Times New Roman" w:hAnsi="Times New Roman"/>
          <w:sz w:val="24"/>
          <w:szCs w:val="24"/>
          <w:lang w:val="en-US"/>
        </w:rPr>
        <w:t>Draft eligibility criteria, TA program design, and financing structure options</w:t>
      </w:r>
    </w:p>
    <w:p w14:paraId="68A5ADCD" w14:textId="39854463" w:rsidR="006940E9" w:rsidRPr="00744AB2" w:rsidRDefault="00C15D66" w:rsidP="00BC2FFB">
      <w:pPr>
        <w:pStyle w:val="Titre2"/>
        <w:tabs>
          <w:tab w:val="num" w:pos="2368"/>
        </w:tabs>
        <w:ind w:left="1648"/>
        <w:rPr>
          <w:rFonts w:ascii="Times New Roman" w:hAnsi="Times New Roman" w:cs="Times New Roman"/>
          <w:sz w:val="24"/>
          <w:szCs w:val="24"/>
        </w:rPr>
      </w:pPr>
      <w:bookmarkStart w:id="83" w:name="_Toc206579956"/>
      <w:bookmarkStart w:id="84" w:name="_Toc205566483"/>
      <w:bookmarkStart w:id="85" w:name="_Toc205566821"/>
      <w:bookmarkStart w:id="86" w:name="_Toc205566846"/>
      <w:bookmarkStart w:id="87" w:name="_Toc205566484"/>
      <w:bookmarkStart w:id="88" w:name="_Toc205566822"/>
      <w:bookmarkStart w:id="89" w:name="_Toc205566847"/>
      <w:bookmarkStart w:id="90" w:name="_Toc205566485"/>
      <w:bookmarkStart w:id="91" w:name="_Toc205566823"/>
      <w:bookmarkStart w:id="92" w:name="_Toc205566848"/>
      <w:bookmarkEnd w:id="84"/>
      <w:bookmarkEnd w:id="85"/>
      <w:bookmarkEnd w:id="86"/>
      <w:bookmarkEnd w:id="87"/>
      <w:bookmarkEnd w:id="88"/>
      <w:bookmarkEnd w:id="89"/>
      <w:bookmarkEnd w:id="90"/>
      <w:bookmarkEnd w:id="91"/>
      <w:bookmarkEnd w:id="92"/>
      <w:proofErr w:type="spellStart"/>
      <w:r w:rsidRPr="00744AB2">
        <w:rPr>
          <w:rFonts w:ascii="Times New Roman" w:hAnsi="Times New Roman" w:cs="Times New Roman"/>
          <w:sz w:val="24"/>
          <w:szCs w:val="24"/>
        </w:rPr>
        <w:t>Deliverables</w:t>
      </w:r>
      <w:proofErr w:type="spellEnd"/>
      <w:r w:rsidRPr="00744AB2">
        <w:rPr>
          <w:rFonts w:ascii="Times New Roman" w:hAnsi="Times New Roman" w:cs="Times New Roman"/>
          <w:sz w:val="24"/>
          <w:szCs w:val="24"/>
        </w:rPr>
        <w:t xml:space="preserve"> validation process</w:t>
      </w:r>
      <w:bookmarkEnd w:id="83"/>
    </w:p>
    <w:p w14:paraId="37098503" w14:textId="77777777" w:rsidR="006940E9" w:rsidRPr="00744AB2" w:rsidRDefault="006940E9" w:rsidP="00744AB2">
      <w:pPr>
        <w:ind w:left="720"/>
        <w:rPr>
          <w:highlight w:val="yellow"/>
        </w:rPr>
      </w:pPr>
    </w:p>
    <w:p w14:paraId="356B207E" w14:textId="77777777" w:rsidR="00C15D66" w:rsidRPr="00744AB2" w:rsidRDefault="00C15D66" w:rsidP="00744AB2">
      <w:pPr>
        <w:ind w:left="720"/>
        <w:jc w:val="both"/>
        <w:rPr>
          <w:lang w:val="en-US"/>
        </w:rPr>
      </w:pPr>
      <w:r w:rsidRPr="00744AB2">
        <w:rPr>
          <w:lang w:val="en-US"/>
        </w:rPr>
        <w:t>If the AFD wishes to alter the deliverable, it shall send the Consultant its comments on those deliverables. The Consultant will have 7 working days in which to reflect those comments in the deliverable and produce a new version of the deliverable. This process may be repeated until the AFD is satisfied with the deliverables. The deliverable will only be validated by a decision of the AFD.</w:t>
      </w:r>
    </w:p>
    <w:p w14:paraId="7AAA1912" w14:textId="708DE85E" w:rsidR="00657694" w:rsidRPr="00744AB2" w:rsidRDefault="00657694" w:rsidP="00744AB2">
      <w:pPr>
        <w:ind w:left="720"/>
        <w:rPr>
          <w:highlight w:val="yellow"/>
          <w:lang w:val="en-US"/>
        </w:rPr>
      </w:pPr>
    </w:p>
    <w:p w14:paraId="61D166F4" w14:textId="77777777" w:rsidR="00C15D66" w:rsidRPr="00744AB2" w:rsidRDefault="00C15D66" w:rsidP="00744AB2">
      <w:pPr>
        <w:pStyle w:val="Titre1"/>
        <w:ind w:left="1440"/>
        <w:rPr>
          <w:rFonts w:ascii="Times New Roman" w:hAnsi="Times New Roman" w:cs="Times New Roman"/>
          <w:i/>
          <w:sz w:val="24"/>
          <w:szCs w:val="24"/>
          <w:lang w:val="en-US"/>
        </w:rPr>
      </w:pPr>
      <w:bookmarkStart w:id="93" w:name="_Toc198501411"/>
      <w:bookmarkStart w:id="94" w:name="_Toc322967821"/>
      <w:bookmarkStart w:id="95" w:name="_Toc206579957"/>
      <w:r w:rsidRPr="00744AB2">
        <w:rPr>
          <w:rFonts w:ascii="Times New Roman" w:hAnsi="Times New Roman" w:cs="Times New Roman"/>
          <w:sz w:val="24"/>
          <w:szCs w:val="24"/>
          <w:lang w:val="en-US"/>
        </w:rPr>
        <w:t>Consultant profile, organization and selection criteria</w:t>
      </w:r>
      <w:bookmarkEnd w:id="93"/>
      <w:bookmarkEnd w:id="95"/>
      <w:r w:rsidRPr="00744AB2">
        <w:rPr>
          <w:rFonts w:ascii="Times New Roman" w:hAnsi="Times New Roman" w:cs="Times New Roman"/>
          <w:sz w:val="24"/>
          <w:szCs w:val="24"/>
          <w:lang w:val="en-US"/>
        </w:rPr>
        <w:t xml:space="preserve"> </w:t>
      </w:r>
      <w:bookmarkEnd w:id="94"/>
    </w:p>
    <w:p w14:paraId="39678B70" w14:textId="77777777" w:rsidR="00C15D66" w:rsidRPr="00744AB2" w:rsidRDefault="00C15D66" w:rsidP="00744AB2">
      <w:pPr>
        <w:pStyle w:val="Titre2"/>
        <w:tabs>
          <w:tab w:val="num" w:pos="2510"/>
        </w:tabs>
        <w:ind w:left="1790"/>
        <w:rPr>
          <w:rFonts w:ascii="Times New Roman" w:hAnsi="Times New Roman" w:cs="Times New Roman"/>
          <w:sz w:val="24"/>
          <w:szCs w:val="24"/>
        </w:rPr>
      </w:pPr>
      <w:bookmarkStart w:id="96" w:name="_Toc198501412"/>
      <w:bookmarkStart w:id="97" w:name="_Toc206579958"/>
      <w:r w:rsidRPr="00744AB2">
        <w:rPr>
          <w:rFonts w:ascii="Times New Roman" w:hAnsi="Times New Roman" w:cs="Times New Roman"/>
          <w:sz w:val="24"/>
          <w:szCs w:val="24"/>
        </w:rPr>
        <w:t>Consultant profile</w:t>
      </w:r>
      <w:bookmarkEnd w:id="96"/>
      <w:bookmarkEnd w:id="97"/>
      <w:r w:rsidRPr="00744AB2">
        <w:rPr>
          <w:rFonts w:ascii="Times New Roman" w:hAnsi="Times New Roman" w:cs="Times New Roman"/>
          <w:sz w:val="24"/>
          <w:szCs w:val="24"/>
        </w:rPr>
        <w:t xml:space="preserve"> </w:t>
      </w:r>
    </w:p>
    <w:p w14:paraId="11D04984" w14:textId="77777777" w:rsidR="00265B4E" w:rsidRPr="00744AB2" w:rsidRDefault="00265B4E" w:rsidP="00744AB2">
      <w:pPr>
        <w:ind w:left="720"/>
      </w:pPr>
    </w:p>
    <w:p w14:paraId="77A2C2D7" w14:textId="03D4B27E" w:rsidR="00265B4E" w:rsidRPr="00744AB2" w:rsidRDefault="00265B4E" w:rsidP="00744AB2">
      <w:pPr>
        <w:ind w:left="720"/>
      </w:pPr>
      <w:r w:rsidRPr="00744AB2">
        <w:t xml:space="preserve">The consultant must </w:t>
      </w:r>
      <w:proofErr w:type="spellStart"/>
      <w:proofErr w:type="gramStart"/>
      <w:r w:rsidRPr="00744AB2">
        <w:t>demonstrate</w:t>
      </w:r>
      <w:proofErr w:type="spellEnd"/>
      <w:r w:rsidRPr="00744AB2">
        <w:t>:</w:t>
      </w:r>
      <w:proofErr w:type="gramEnd"/>
    </w:p>
    <w:p w14:paraId="3A19A9D7" w14:textId="26F546FD" w:rsidR="00265B4E" w:rsidRPr="00744AB2" w:rsidRDefault="00265B4E" w:rsidP="00744AB2">
      <w:pPr>
        <w:numPr>
          <w:ilvl w:val="0"/>
          <w:numId w:val="8"/>
        </w:numPr>
        <w:tabs>
          <w:tab w:val="clear" w:pos="720"/>
          <w:tab w:val="num" w:pos="2160"/>
        </w:tabs>
        <w:ind w:left="1440"/>
        <w:jc w:val="both"/>
        <w:rPr>
          <w:lang w:val="en-US"/>
        </w:rPr>
      </w:pPr>
      <w:r w:rsidRPr="00744AB2">
        <w:rPr>
          <w:lang w:val="en-US"/>
        </w:rPr>
        <w:t>Proven experience</w:t>
      </w:r>
      <w:r w:rsidR="00744AB2">
        <w:rPr>
          <w:lang w:val="en-US"/>
        </w:rPr>
        <w:t xml:space="preserve"> </w:t>
      </w:r>
      <w:r w:rsidR="000C5EB7" w:rsidRPr="00744AB2">
        <w:rPr>
          <w:rStyle w:val="lev"/>
          <w:b w:val="0"/>
          <w:bCs w:val="0"/>
          <w:lang w:val="en-US"/>
        </w:rPr>
        <w:t>in designing, building and implementing financial models</w:t>
      </w:r>
      <w:r w:rsidR="000C5EB7" w:rsidRPr="00744AB2">
        <w:rPr>
          <w:lang w:val="en-US"/>
        </w:rPr>
        <w:t xml:space="preserve"> for sovereign wealth funds, development finance institutions, public investment entities, or similar organizations with a dual mandate of return and impact;</w:t>
      </w:r>
    </w:p>
    <w:p w14:paraId="05958123" w14:textId="7E24E9E1" w:rsidR="00265B4E" w:rsidRPr="00744AB2" w:rsidRDefault="000C5EB7" w:rsidP="00744AB2">
      <w:pPr>
        <w:numPr>
          <w:ilvl w:val="0"/>
          <w:numId w:val="8"/>
        </w:numPr>
        <w:tabs>
          <w:tab w:val="clear" w:pos="720"/>
          <w:tab w:val="num" w:pos="2160"/>
        </w:tabs>
        <w:spacing w:before="100" w:beforeAutospacing="1" w:after="100" w:afterAutospacing="1"/>
        <w:ind w:left="1440"/>
        <w:jc w:val="both"/>
        <w:rPr>
          <w:lang w:val="en-US"/>
        </w:rPr>
      </w:pPr>
      <w:r w:rsidRPr="00744AB2">
        <w:rPr>
          <w:lang w:val="en-US"/>
        </w:rPr>
        <w:t>Advanced p</w:t>
      </w:r>
      <w:r w:rsidR="00265B4E" w:rsidRPr="00744AB2">
        <w:rPr>
          <w:lang w:val="en-US"/>
        </w:rPr>
        <w:t>roficiency in Excel-based financial modelin</w:t>
      </w:r>
      <w:r w:rsidRPr="00744AB2">
        <w:rPr>
          <w:lang w:val="en-US"/>
        </w:rPr>
        <w:t>g including the use of scenario analysis, sensitivity testing, and dashboard development (VBA, Power Query, Power Pivot experience is an asset)</w:t>
      </w:r>
    </w:p>
    <w:p w14:paraId="0F993CFF" w14:textId="77777777" w:rsidR="00744AB2" w:rsidRPr="00744AB2" w:rsidRDefault="000C5EB7" w:rsidP="00744AB2">
      <w:pPr>
        <w:numPr>
          <w:ilvl w:val="0"/>
          <w:numId w:val="8"/>
        </w:numPr>
        <w:tabs>
          <w:tab w:val="clear" w:pos="720"/>
          <w:tab w:val="num" w:pos="2160"/>
        </w:tabs>
        <w:spacing w:before="100" w:beforeAutospacing="1" w:after="100" w:afterAutospacing="1"/>
        <w:ind w:left="1440"/>
        <w:jc w:val="both"/>
        <w:rPr>
          <w:lang w:val="en-US"/>
        </w:rPr>
      </w:pPr>
      <w:r w:rsidRPr="00744AB2">
        <w:rPr>
          <w:rStyle w:val="lev"/>
          <w:b w:val="0"/>
          <w:bCs w:val="0"/>
          <w:lang w:val="en-ZA"/>
        </w:rPr>
        <w:lastRenderedPageBreak/>
        <w:t>Strong technical knowledge of investment instruments</w:t>
      </w:r>
      <w:r w:rsidRPr="00744AB2">
        <w:rPr>
          <w:lang w:val="en-ZA"/>
        </w:rPr>
        <w:t>, including debt (senior, subordinated), equity (direct, fund-of-funds), and blended finance structures;</w:t>
      </w:r>
    </w:p>
    <w:p w14:paraId="1EF5DC04" w14:textId="1F8A16CB" w:rsidR="00265B4E" w:rsidRPr="00744AB2" w:rsidRDefault="000C5EB7" w:rsidP="00744AB2">
      <w:pPr>
        <w:numPr>
          <w:ilvl w:val="0"/>
          <w:numId w:val="8"/>
        </w:numPr>
        <w:tabs>
          <w:tab w:val="clear" w:pos="720"/>
          <w:tab w:val="num" w:pos="2160"/>
        </w:tabs>
        <w:spacing w:before="100" w:beforeAutospacing="1" w:after="100" w:afterAutospacing="1"/>
        <w:ind w:left="1440"/>
        <w:jc w:val="both"/>
        <w:rPr>
          <w:lang w:val="en-US"/>
        </w:rPr>
      </w:pPr>
      <w:r w:rsidRPr="00744AB2">
        <w:rPr>
          <w:rStyle w:val="lev"/>
          <w:b w:val="0"/>
          <w:bCs w:val="0"/>
          <w:lang w:val="en-US"/>
        </w:rPr>
        <w:t>Demonstrated ability to communicate complex financial concepts</w:t>
      </w:r>
      <w:r w:rsidRPr="00744AB2">
        <w:rPr>
          <w:lang w:val="en-US"/>
        </w:rPr>
        <w:t xml:space="preserve"> to non-technical audiences and to deliver </w:t>
      </w:r>
      <w:r w:rsidRPr="00744AB2">
        <w:rPr>
          <w:rStyle w:val="lev"/>
          <w:b w:val="0"/>
          <w:bCs w:val="0"/>
          <w:lang w:val="en-US"/>
        </w:rPr>
        <w:t>capacity-building or training sessions</w:t>
      </w:r>
      <w:r w:rsidRPr="00744AB2">
        <w:rPr>
          <w:lang w:val="en-US"/>
        </w:rPr>
        <w:t xml:space="preserve"> for operational teams.</w:t>
      </w:r>
    </w:p>
    <w:p w14:paraId="27D60C90" w14:textId="4BDCA136" w:rsidR="00657694" w:rsidRPr="00744AB2" w:rsidRDefault="00265B4E" w:rsidP="00744AB2">
      <w:pPr>
        <w:numPr>
          <w:ilvl w:val="0"/>
          <w:numId w:val="8"/>
        </w:numPr>
        <w:tabs>
          <w:tab w:val="clear" w:pos="720"/>
          <w:tab w:val="num" w:pos="2160"/>
        </w:tabs>
        <w:spacing w:before="100" w:beforeAutospacing="1" w:after="100" w:afterAutospacing="1"/>
        <w:ind w:left="1440"/>
        <w:jc w:val="both"/>
        <w:rPr>
          <w:lang w:val="en-US"/>
        </w:rPr>
      </w:pPr>
      <w:r w:rsidRPr="00744AB2">
        <w:rPr>
          <w:lang w:val="en-US"/>
        </w:rPr>
        <w:t>Fluency in English (French is a plus).</w:t>
      </w:r>
      <w:bookmarkStart w:id="98" w:name="_Toc322967820"/>
    </w:p>
    <w:p w14:paraId="5CCC5915" w14:textId="48D8B586" w:rsidR="00BB118B" w:rsidRPr="00744AB2" w:rsidRDefault="00265B4E" w:rsidP="00FD35DF">
      <w:pPr>
        <w:pStyle w:val="Titre2"/>
        <w:tabs>
          <w:tab w:val="num" w:pos="2368"/>
        </w:tabs>
        <w:ind w:left="1648"/>
        <w:rPr>
          <w:rFonts w:ascii="Times New Roman" w:hAnsi="Times New Roman" w:cs="Times New Roman"/>
          <w:sz w:val="24"/>
          <w:szCs w:val="24"/>
        </w:rPr>
      </w:pPr>
      <w:bookmarkStart w:id="99" w:name="_Toc206579959"/>
      <w:bookmarkEnd w:id="98"/>
      <w:proofErr w:type="spellStart"/>
      <w:r w:rsidRPr="00744AB2">
        <w:rPr>
          <w:rFonts w:ascii="Times New Roman" w:hAnsi="Times New Roman" w:cs="Times New Roman"/>
          <w:sz w:val="24"/>
          <w:szCs w:val="24"/>
        </w:rPr>
        <w:t>Organization</w:t>
      </w:r>
      <w:proofErr w:type="spellEnd"/>
      <w:r w:rsidRPr="00744AB2">
        <w:rPr>
          <w:rFonts w:ascii="Times New Roman" w:hAnsi="Times New Roman" w:cs="Times New Roman"/>
          <w:sz w:val="24"/>
          <w:szCs w:val="24"/>
        </w:rPr>
        <w:t xml:space="preserve"> of the mission</w:t>
      </w:r>
      <w:bookmarkEnd w:id="99"/>
    </w:p>
    <w:p w14:paraId="10E4EE6A" w14:textId="77777777" w:rsidR="00265B4E" w:rsidRPr="00744AB2" w:rsidRDefault="00265B4E" w:rsidP="00744AB2">
      <w:pPr>
        <w:ind w:left="720"/>
        <w:jc w:val="both"/>
        <w:rPr>
          <w:lang w:val="en-US"/>
        </w:rPr>
      </w:pPr>
    </w:p>
    <w:p w14:paraId="08271B26" w14:textId="55008B18" w:rsidR="00265B4E" w:rsidRPr="00744AB2" w:rsidRDefault="00265B4E" w:rsidP="00744AB2">
      <w:pPr>
        <w:ind w:left="720"/>
        <w:jc w:val="both"/>
        <w:rPr>
          <w:lang w:val="en-US"/>
        </w:rPr>
      </w:pPr>
      <w:r w:rsidRPr="00744AB2">
        <w:rPr>
          <w:lang w:val="en-US"/>
        </w:rPr>
        <w:t xml:space="preserve">The mission will be implemented by the Consultant under the supervision of AFD in Kigali, Nairobi and Paris, in close collaboration with </w:t>
      </w:r>
      <w:proofErr w:type="spellStart"/>
      <w:r w:rsidRPr="00744AB2">
        <w:rPr>
          <w:lang w:val="en-US"/>
        </w:rPr>
        <w:t>Agaciro</w:t>
      </w:r>
      <w:proofErr w:type="spellEnd"/>
      <w:r w:rsidRPr="00744AB2">
        <w:rPr>
          <w:lang w:val="en-US"/>
        </w:rPr>
        <w:t xml:space="preserve">. A confidentiality agreement will be signed at the start of the mission between the Consultant and AFD. </w:t>
      </w:r>
    </w:p>
    <w:p w14:paraId="5F4948E3" w14:textId="77777777" w:rsidR="00265B4E" w:rsidRPr="00744AB2" w:rsidRDefault="00265B4E" w:rsidP="00744AB2">
      <w:pPr>
        <w:ind w:left="720"/>
        <w:jc w:val="both"/>
        <w:rPr>
          <w:lang w:val="en-US"/>
        </w:rPr>
      </w:pPr>
      <w:r w:rsidRPr="00744AB2">
        <w:rPr>
          <w:lang w:val="en-US"/>
        </w:rPr>
        <w:t>A kick-off meeting will be organized between the Consultant and AFD to discuss AFD's expectations, study methodology, sequencing and timing of activities. On the same model, progress meetings will be held upon delivery of each intermediate deliverable.</w:t>
      </w:r>
    </w:p>
    <w:p w14:paraId="197E1343" w14:textId="77777777" w:rsidR="00265B4E" w:rsidRPr="00744AB2" w:rsidRDefault="00265B4E" w:rsidP="00744AB2">
      <w:pPr>
        <w:ind w:left="720"/>
        <w:jc w:val="both"/>
        <w:rPr>
          <w:lang w:val="en-US"/>
        </w:rPr>
      </w:pPr>
    </w:p>
    <w:p w14:paraId="43FDE05D" w14:textId="5283E787" w:rsidR="000B3712" w:rsidRPr="00744AB2" w:rsidRDefault="00265B4E" w:rsidP="00744AB2">
      <w:pPr>
        <w:ind w:left="720"/>
        <w:jc w:val="both"/>
        <w:rPr>
          <w:lang w:val="en-US"/>
        </w:rPr>
      </w:pPr>
      <w:r w:rsidRPr="00744AB2">
        <w:rPr>
          <w:lang w:val="en-US"/>
        </w:rPr>
        <w:t xml:space="preserve">The Consultant will be responsible for organizing his mission(s) to Kigali, including his field visits, if any, in close collaboration with </w:t>
      </w:r>
      <w:proofErr w:type="spellStart"/>
      <w:r w:rsidRPr="00744AB2">
        <w:rPr>
          <w:lang w:val="en-US"/>
        </w:rPr>
        <w:t>Agaciro</w:t>
      </w:r>
      <w:proofErr w:type="spellEnd"/>
      <w:r w:rsidRPr="00744AB2">
        <w:rPr>
          <w:lang w:val="en-US"/>
        </w:rPr>
        <w:t xml:space="preserve">. It must provide the human and logistical resources necessary for the implementation of its mission. </w:t>
      </w:r>
    </w:p>
    <w:p w14:paraId="548621BB" w14:textId="77777777" w:rsidR="00265B4E" w:rsidRPr="00744AB2" w:rsidRDefault="00265B4E" w:rsidP="00744AB2">
      <w:pPr>
        <w:autoSpaceDE w:val="0"/>
        <w:autoSpaceDN w:val="0"/>
        <w:adjustRightInd w:val="0"/>
        <w:spacing w:before="120"/>
        <w:ind w:left="720"/>
        <w:jc w:val="both"/>
        <w:rPr>
          <w:lang w:val="en-US"/>
        </w:rPr>
      </w:pPr>
      <w:r w:rsidRPr="00744AB2">
        <w:rPr>
          <w:lang w:val="en-US"/>
        </w:rPr>
        <w:t>Please note that all documents shall be written in English and should include an executive summary.</w:t>
      </w:r>
    </w:p>
    <w:p w14:paraId="38C8D2CF" w14:textId="77777777" w:rsidR="00265B4E" w:rsidRPr="00744AB2" w:rsidRDefault="00265B4E" w:rsidP="00744AB2">
      <w:pPr>
        <w:ind w:left="720"/>
        <w:jc w:val="both"/>
        <w:rPr>
          <w:lang w:val="en-US"/>
        </w:rPr>
      </w:pPr>
    </w:p>
    <w:p w14:paraId="0B4C1ACE" w14:textId="77777777" w:rsidR="00265B4E" w:rsidRPr="00744AB2" w:rsidRDefault="00265B4E" w:rsidP="00744AB2">
      <w:pPr>
        <w:ind w:left="720"/>
        <w:jc w:val="both"/>
        <w:rPr>
          <w:lang w:val="en-US"/>
        </w:rPr>
      </w:pPr>
      <w:r w:rsidRPr="00744AB2">
        <w:rPr>
          <w:lang w:val="en-US"/>
        </w:rPr>
        <w:t>At the operational level, there reference interlocutor will be established within AFD:</w:t>
      </w:r>
    </w:p>
    <w:p w14:paraId="01AD0EE1" w14:textId="77777777" w:rsidR="00265B4E" w:rsidRPr="00744AB2" w:rsidRDefault="00265B4E" w:rsidP="00744AB2">
      <w:pPr>
        <w:tabs>
          <w:tab w:val="right" w:pos="3760"/>
        </w:tabs>
        <w:ind w:left="720"/>
        <w:rPr>
          <w:lang w:val="en-US"/>
        </w:rPr>
      </w:pPr>
    </w:p>
    <w:tbl>
      <w:tblPr>
        <w:tblStyle w:val="Grilledutableau"/>
        <w:tblW w:w="9636" w:type="dxa"/>
        <w:tblInd w:w="720" w:type="dxa"/>
        <w:tblLook w:val="04A0" w:firstRow="1" w:lastRow="0" w:firstColumn="1" w:lastColumn="0" w:noHBand="0" w:noVBand="1"/>
      </w:tblPr>
      <w:tblGrid>
        <w:gridCol w:w="9636"/>
      </w:tblGrid>
      <w:tr w:rsidR="00265B4E" w:rsidRPr="004711A5" w14:paraId="56239E98" w14:textId="77777777" w:rsidTr="00744AB2">
        <w:tc>
          <w:tcPr>
            <w:tcW w:w="9636" w:type="dxa"/>
          </w:tcPr>
          <w:p w14:paraId="6720907F" w14:textId="77777777" w:rsidR="00265B4E" w:rsidRPr="00D8209B" w:rsidRDefault="00265B4E" w:rsidP="006230E8">
            <w:pPr>
              <w:pStyle w:val="Paragraphedeliste"/>
              <w:numPr>
                <w:ilvl w:val="0"/>
                <w:numId w:val="9"/>
              </w:numPr>
              <w:ind w:left="352"/>
              <w:rPr>
                <w:rFonts w:ascii="Times New Roman" w:hAnsi="Times New Roman"/>
                <w:b/>
                <w:i/>
                <w:sz w:val="24"/>
                <w:szCs w:val="24"/>
                <w:lang w:val="fr-FR"/>
              </w:rPr>
            </w:pPr>
            <w:r w:rsidRPr="00D8209B">
              <w:rPr>
                <w:rFonts w:ascii="Times New Roman" w:hAnsi="Times New Roman"/>
                <w:b/>
                <w:i/>
                <w:sz w:val="24"/>
                <w:szCs w:val="24"/>
              </w:rPr>
              <w:t>AFD Kigali</w:t>
            </w:r>
          </w:p>
          <w:p w14:paraId="67545245" w14:textId="77777777" w:rsidR="00265B4E" w:rsidRPr="00D8209B" w:rsidRDefault="00265B4E" w:rsidP="00271CBC">
            <w:pPr>
              <w:ind w:left="-8"/>
              <w:rPr>
                <w:lang w:val="fr-FR"/>
              </w:rPr>
            </w:pPr>
            <w:r w:rsidRPr="00D8209B">
              <w:rPr>
                <w:lang w:val="fr-FR"/>
              </w:rPr>
              <w:t xml:space="preserve">Ms. Nathalie MUTALIKANWA </w:t>
            </w:r>
            <w:hyperlink r:id="rId8" w:history="1">
              <w:r w:rsidRPr="00D8209B">
                <w:rPr>
                  <w:rStyle w:val="Lienhypertexte"/>
                  <w:lang w:val="fr-FR"/>
                </w:rPr>
                <w:t>mutalikanwan@afd.fr</w:t>
              </w:r>
            </w:hyperlink>
          </w:p>
          <w:p w14:paraId="28E514C2" w14:textId="77777777" w:rsidR="00265B4E" w:rsidRPr="00D8209B" w:rsidRDefault="00265B4E" w:rsidP="00271CBC">
            <w:pPr>
              <w:rPr>
                <w:lang w:val="fr-FR"/>
              </w:rPr>
            </w:pPr>
          </w:p>
          <w:p w14:paraId="775A1B55" w14:textId="77777777" w:rsidR="00265B4E" w:rsidRPr="00D8209B" w:rsidRDefault="00265B4E" w:rsidP="006230E8">
            <w:pPr>
              <w:pStyle w:val="Paragraphedeliste"/>
              <w:numPr>
                <w:ilvl w:val="0"/>
                <w:numId w:val="9"/>
              </w:numPr>
              <w:ind w:left="352"/>
              <w:rPr>
                <w:rFonts w:ascii="Times New Roman" w:hAnsi="Times New Roman"/>
                <w:b/>
                <w:i/>
                <w:sz w:val="24"/>
                <w:szCs w:val="24"/>
                <w:lang w:val="fr-FR"/>
              </w:rPr>
            </w:pPr>
            <w:r w:rsidRPr="00D8209B">
              <w:rPr>
                <w:rFonts w:ascii="Times New Roman" w:hAnsi="Times New Roman"/>
                <w:b/>
                <w:i/>
                <w:sz w:val="24"/>
                <w:szCs w:val="24"/>
              </w:rPr>
              <w:t>AFD Nairobi</w:t>
            </w:r>
          </w:p>
          <w:p w14:paraId="56D7894F" w14:textId="77777777" w:rsidR="00265B4E" w:rsidRPr="00D8209B" w:rsidRDefault="00265B4E" w:rsidP="00271CBC">
            <w:pPr>
              <w:pStyle w:val="Paragraphedeliste"/>
              <w:ind w:left="0"/>
              <w:rPr>
                <w:rFonts w:ascii="Times New Roman" w:hAnsi="Times New Roman"/>
                <w:sz w:val="24"/>
                <w:szCs w:val="24"/>
                <w:lang w:val="fr-FR"/>
              </w:rPr>
            </w:pPr>
            <w:r w:rsidRPr="00D8209B">
              <w:rPr>
                <w:rFonts w:ascii="Times New Roman" w:hAnsi="Times New Roman"/>
                <w:sz w:val="24"/>
                <w:szCs w:val="24"/>
                <w:lang w:val="fr-FR"/>
              </w:rPr>
              <w:t xml:space="preserve">Ms. Emilie PASCAL </w:t>
            </w:r>
            <w:hyperlink r:id="rId9" w:history="1">
              <w:r w:rsidRPr="00D8209B">
                <w:rPr>
                  <w:rStyle w:val="Lienhypertexte"/>
                  <w:rFonts w:ascii="Times New Roman" w:hAnsi="Times New Roman"/>
                  <w:sz w:val="24"/>
                  <w:szCs w:val="24"/>
                  <w:lang w:val="fr-FR"/>
                </w:rPr>
                <w:t>pascale@afd.fr</w:t>
              </w:r>
            </w:hyperlink>
          </w:p>
          <w:p w14:paraId="25BB783D" w14:textId="77777777" w:rsidR="00265B4E" w:rsidRPr="00D8209B" w:rsidRDefault="00265B4E" w:rsidP="00271CBC">
            <w:pPr>
              <w:pStyle w:val="Paragraphedeliste"/>
              <w:ind w:left="0"/>
              <w:rPr>
                <w:rFonts w:ascii="Times New Roman" w:hAnsi="Times New Roman"/>
                <w:sz w:val="24"/>
                <w:szCs w:val="24"/>
                <w:lang w:val="fr-FR"/>
              </w:rPr>
            </w:pPr>
          </w:p>
          <w:p w14:paraId="24007C27" w14:textId="77777777" w:rsidR="00265B4E" w:rsidRPr="00D8209B" w:rsidRDefault="00265B4E" w:rsidP="006230E8">
            <w:pPr>
              <w:pStyle w:val="Paragraphedeliste"/>
              <w:numPr>
                <w:ilvl w:val="0"/>
                <w:numId w:val="9"/>
              </w:numPr>
              <w:ind w:left="352"/>
              <w:rPr>
                <w:rFonts w:ascii="Times New Roman" w:hAnsi="Times New Roman"/>
                <w:b/>
                <w:i/>
                <w:sz w:val="24"/>
                <w:szCs w:val="24"/>
                <w:lang w:val="fr-FR"/>
              </w:rPr>
            </w:pPr>
            <w:r w:rsidRPr="00D8209B">
              <w:rPr>
                <w:rFonts w:ascii="Times New Roman" w:hAnsi="Times New Roman"/>
                <w:b/>
                <w:i/>
                <w:sz w:val="24"/>
                <w:szCs w:val="24"/>
              </w:rPr>
              <w:t>AFD Paris</w:t>
            </w:r>
          </w:p>
          <w:p w14:paraId="47BB2E99" w14:textId="77777777" w:rsidR="00265B4E" w:rsidRPr="00FD35DF" w:rsidRDefault="00265B4E" w:rsidP="00271CBC">
            <w:pPr>
              <w:pStyle w:val="Paragraphedeliste"/>
              <w:ind w:left="0"/>
              <w:rPr>
                <w:rStyle w:val="Lienhypertexte"/>
                <w:rFonts w:ascii="Times New Roman" w:hAnsi="Times New Roman"/>
                <w:sz w:val="24"/>
                <w:szCs w:val="24"/>
                <w:lang w:val="fr-FR"/>
              </w:rPr>
            </w:pPr>
            <w:r w:rsidRPr="00D8209B">
              <w:rPr>
                <w:rFonts w:ascii="Times New Roman" w:hAnsi="Times New Roman"/>
                <w:sz w:val="24"/>
                <w:szCs w:val="24"/>
                <w:lang w:val="fr-FR"/>
              </w:rPr>
              <w:t xml:space="preserve">Mr. Jean-Claude CHESNAIS </w:t>
            </w:r>
            <w:hyperlink r:id="rId10" w:history="1">
              <w:r w:rsidRPr="00D8209B">
                <w:rPr>
                  <w:rStyle w:val="Lienhypertexte"/>
                  <w:rFonts w:ascii="Times New Roman" w:hAnsi="Times New Roman"/>
                  <w:sz w:val="24"/>
                  <w:szCs w:val="24"/>
                  <w:lang w:val="fr-FR"/>
                </w:rPr>
                <w:t>chesnaisjc@afd.fr</w:t>
              </w:r>
            </w:hyperlink>
          </w:p>
          <w:p w14:paraId="41A79C4A" w14:textId="6C6E3D69" w:rsidR="00D8209B" w:rsidRPr="00D8209B" w:rsidRDefault="00D8209B" w:rsidP="00271CBC">
            <w:pPr>
              <w:pStyle w:val="Paragraphedeliste"/>
              <w:ind w:left="0"/>
              <w:rPr>
                <w:rFonts w:ascii="Times New Roman" w:hAnsi="Times New Roman"/>
                <w:sz w:val="24"/>
                <w:szCs w:val="24"/>
                <w:lang w:val="fr-FR"/>
              </w:rPr>
            </w:pPr>
            <w:r w:rsidRPr="00D8209B">
              <w:rPr>
                <w:rFonts w:ascii="Times New Roman" w:hAnsi="Times New Roman"/>
                <w:sz w:val="24"/>
                <w:szCs w:val="24"/>
                <w:lang w:val="fr-FR"/>
              </w:rPr>
              <w:t xml:space="preserve">Mr. Alexis PARISELLE </w:t>
            </w:r>
            <w:hyperlink r:id="rId11" w:history="1">
              <w:r w:rsidRPr="00D8209B">
                <w:rPr>
                  <w:rStyle w:val="Lienhypertexte"/>
                  <w:rFonts w:ascii="Times New Roman" w:hAnsi="Times New Roman"/>
                  <w:sz w:val="24"/>
                  <w:szCs w:val="24"/>
                  <w:lang w:val="fr-FR"/>
                </w:rPr>
                <w:t>parisellea@afd.fr</w:t>
              </w:r>
            </w:hyperlink>
            <w:r w:rsidRPr="00D8209B">
              <w:rPr>
                <w:rFonts w:ascii="Times New Roman" w:hAnsi="Times New Roman"/>
                <w:sz w:val="24"/>
                <w:szCs w:val="24"/>
                <w:lang w:val="fr-FR"/>
              </w:rPr>
              <w:t xml:space="preserve"> </w:t>
            </w:r>
            <w:r w:rsidRPr="00D8209B">
              <w:rPr>
                <w:sz w:val="24"/>
                <w:szCs w:val="24"/>
              </w:rPr>
              <w:t xml:space="preserve"> </w:t>
            </w:r>
          </w:p>
        </w:tc>
      </w:tr>
    </w:tbl>
    <w:p w14:paraId="05DF0D91" w14:textId="39373726" w:rsidR="00265B4E" w:rsidRPr="00744AB2" w:rsidRDefault="00265B4E" w:rsidP="00744AB2">
      <w:pPr>
        <w:ind w:left="720"/>
        <w:rPr>
          <w:highlight w:val="yellow"/>
        </w:rPr>
      </w:pPr>
    </w:p>
    <w:p w14:paraId="510236B4" w14:textId="77777777" w:rsidR="00265B4E" w:rsidRPr="00744AB2" w:rsidRDefault="00265B4E" w:rsidP="00FD35DF">
      <w:pPr>
        <w:pStyle w:val="Titre2"/>
        <w:tabs>
          <w:tab w:val="clear" w:pos="1353"/>
          <w:tab w:val="num" w:pos="2368"/>
        </w:tabs>
        <w:ind w:left="1648"/>
        <w:rPr>
          <w:rFonts w:ascii="Times New Roman" w:hAnsi="Times New Roman" w:cs="Times New Roman"/>
          <w:sz w:val="24"/>
          <w:szCs w:val="24"/>
          <w:lang w:val="en-US"/>
        </w:rPr>
      </w:pPr>
      <w:bookmarkStart w:id="100" w:name="_Toc198501414"/>
      <w:bookmarkStart w:id="101" w:name="_Toc206579960"/>
      <w:r w:rsidRPr="00744AB2">
        <w:rPr>
          <w:rFonts w:ascii="Times New Roman" w:hAnsi="Times New Roman" w:cs="Times New Roman"/>
          <w:sz w:val="24"/>
          <w:szCs w:val="24"/>
          <w:lang w:val="en-US"/>
        </w:rPr>
        <w:t>Estimated time frame for the service</w:t>
      </w:r>
      <w:bookmarkEnd w:id="100"/>
      <w:bookmarkEnd w:id="101"/>
    </w:p>
    <w:p w14:paraId="5CF97580" w14:textId="77777777" w:rsidR="00265B4E" w:rsidRPr="00744AB2" w:rsidRDefault="00265B4E" w:rsidP="00744AB2">
      <w:pPr>
        <w:ind w:left="720"/>
        <w:rPr>
          <w:highlight w:val="yellow"/>
          <w:lang w:val="en-US"/>
        </w:rPr>
      </w:pPr>
    </w:p>
    <w:p w14:paraId="164B7DF4" w14:textId="22A3A1D2" w:rsidR="00265B4E" w:rsidRPr="00744AB2" w:rsidRDefault="00265B4E" w:rsidP="00744AB2">
      <w:pPr>
        <w:autoSpaceDE w:val="0"/>
        <w:autoSpaceDN w:val="0"/>
        <w:adjustRightInd w:val="0"/>
        <w:ind w:left="720"/>
        <w:jc w:val="both"/>
        <w:rPr>
          <w:lang w:val="en-US"/>
        </w:rPr>
      </w:pPr>
      <w:r w:rsidRPr="00744AB2">
        <w:rPr>
          <w:lang w:val="en-US"/>
        </w:rPr>
        <w:t xml:space="preserve">The Consultant is requested to start his mission in 2025 </w:t>
      </w:r>
      <w:r w:rsidR="004711A5" w:rsidRPr="00744AB2">
        <w:rPr>
          <w:lang w:val="en-US"/>
        </w:rPr>
        <w:t>Q4</w:t>
      </w:r>
      <w:r w:rsidRPr="00744AB2">
        <w:rPr>
          <w:lang w:val="en-US"/>
        </w:rPr>
        <w:t xml:space="preserve">. The duration is negotiable, based on the work plan of the Consultant; however, the assignment should be completed within a timeframe of maximum 4 months. </w:t>
      </w:r>
    </w:p>
    <w:p w14:paraId="00942AC0" w14:textId="1984EA1C" w:rsidR="00265B4E" w:rsidRPr="00744AB2" w:rsidRDefault="00265B4E" w:rsidP="00744AB2">
      <w:pPr>
        <w:ind w:left="720"/>
        <w:rPr>
          <w:lang w:val="en-US"/>
        </w:rPr>
      </w:pPr>
    </w:p>
    <w:tbl>
      <w:tblPr>
        <w:tblStyle w:val="Grilledutableau"/>
        <w:tblW w:w="9636" w:type="dxa"/>
        <w:tblInd w:w="720" w:type="dxa"/>
        <w:tblLook w:val="04A0" w:firstRow="1" w:lastRow="0" w:firstColumn="1" w:lastColumn="0" w:noHBand="0" w:noVBand="1"/>
      </w:tblPr>
      <w:tblGrid>
        <w:gridCol w:w="2122"/>
        <w:gridCol w:w="4302"/>
        <w:gridCol w:w="3212"/>
      </w:tblGrid>
      <w:tr w:rsidR="00265B4E" w:rsidRPr="004711A5" w14:paraId="36E79521" w14:textId="77777777" w:rsidTr="00744AB2">
        <w:tc>
          <w:tcPr>
            <w:tcW w:w="2122" w:type="dxa"/>
          </w:tcPr>
          <w:p w14:paraId="12B8F7E2" w14:textId="3BBEE1B5" w:rsidR="00265B4E" w:rsidRPr="00744AB2" w:rsidRDefault="00265B4E" w:rsidP="00265B4E">
            <w:pPr>
              <w:rPr>
                <w:lang w:val="en-US"/>
              </w:rPr>
            </w:pPr>
            <w:r w:rsidRPr="00744AB2">
              <w:rPr>
                <w:lang w:val="en-US"/>
              </w:rPr>
              <w:t>Phase</w:t>
            </w:r>
          </w:p>
        </w:tc>
        <w:tc>
          <w:tcPr>
            <w:tcW w:w="4302" w:type="dxa"/>
          </w:tcPr>
          <w:p w14:paraId="5D0A5365" w14:textId="56246199" w:rsidR="00265B4E" w:rsidRPr="00744AB2" w:rsidRDefault="00265B4E" w:rsidP="00265B4E">
            <w:pPr>
              <w:rPr>
                <w:lang w:val="en-US"/>
              </w:rPr>
            </w:pPr>
            <w:r w:rsidRPr="00744AB2">
              <w:rPr>
                <w:lang w:val="en-US"/>
              </w:rPr>
              <w:t>Description</w:t>
            </w:r>
          </w:p>
        </w:tc>
        <w:tc>
          <w:tcPr>
            <w:tcW w:w="3212" w:type="dxa"/>
          </w:tcPr>
          <w:p w14:paraId="702E2FAB" w14:textId="64C786B2" w:rsidR="00265B4E" w:rsidRPr="00744AB2" w:rsidRDefault="00265B4E" w:rsidP="00265B4E">
            <w:pPr>
              <w:rPr>
                <w:lang w:val="en-US"/>
              </w:rPr>
            </w:pPr>
            <w:r w:rsidRPr="00744AB2">
              <w:rPr>
                <w:lang w:val="en-US"/>
              </w:rPr>
              <w:t>Timeline</w:t>
            </w:r>
          </w:p>
        </w:tc>
      </w:tr>
      <w:tr w:rsidR="00265B4E" w:rsidRPr="004711A5" w14:paraId="1956D080" w14:textId="77777777" w:rsidTr="00744AB2">
        <w:tc>
          <w:tcPr>
            <w:tcW w:w="2122" w:type="dxa"/>
          </w:tcPr>
          <w:p w14:paraId="6D50DCF1" w14:textId="0FCD965D" w:rsidR="00265B4E" w:rsidRPr="00744AB2" w:rsidRDefault="00265B4E" w:rsidP="00265B4E">
            <w:pPr>
              <w:rPr>
                <w:lang w:val="en-US"/>
              </w:rPr>
            </w:pPr>
            <w:r w:rsidRPr="00744AB2">
              <w:rPr>
                <w:lang w:val="en-US"/>
              </w:rPr>
              <w:t>Kick-off</w:t>
            </w:r>
          </w:p>
        </w:tc>
        <w:tc>
          <w:tcPr>
            <w:tcW w:w="4302" w:type="dxa"/>
          </w:tcPr>
          <w:p w14:paraId="5238EE1B" w14:textId="0120CBA8" w:rsidR="00265B4E" w:rsidRPr="00744AB2" w:rsidRDefault="00265B4E" w:rsidP="00265B4E">
            <w:pPr>
              <w:rPr>
                <w:lang w:val="en-US"/>
              </w:rPr>
            </w:pPr>
            <w:r w:rsidRPr="00744AB2">
              <w:rPr>
                <w:lang w:val="en-US"/>
              </w:rPr>
              <w:t>Launch meeting and data request</w:t>
            </w:r>
          </w:p>
        </w:tc>
        <w:tc>
          <w:tcPr>
            <w:tcW w:w="3212" w:type="dxa"/>
          </w:tcPr>
          <w:p w14:paraId="6D1352A7" w14:textId="4FED4FFD" w:rsidR="00265B4E" w:rsidRPr="00744AB2" w:rsidRDefault="00A66D48" w:rsidP="00265B4E">
            <w:pPr>
              <w:rPr>
                <w:lang w:val="en-US"/>
              </w:rPr>
            </w:pPr>
            <w:r w:rsidRPr="00744AB2">
              <w:rPr>
                <w:lang w:val="en-US"/>
              </w:rPr>
              <w:t>Week 1</w:t>
            </w:r>
          </w:p>
        </w:tc>
      </w:tr>
      <w:tr w:rsidR="00265B4E" w:rsidRPr="004711A5" w14:paraId="1712F952" w14:textId="77777777" w:rsidTr="00744AB2">
        <w:tc>
          <w:tcPr>
            <w:tcW w:w="2122" w:type="dxa"/>
          </w:tcPr>
          <w:p w14:paraId="32896D7B" w14:textId="671516AF" w:rsidR="00265B4E" w:rsidRPr="00744AB2" w:rsidRDefault="00265B4E" w:rsidP="00265B4E">
            <w:pPr>
              <w:rPr>
                <w:lang w:val="en-US"/>
              </w:rPr>
            </w:pPr>
            <w:r w:rsidRPr="00744AB2">
              <w:rPr>
                <w:lang w:val="en-US"/>
              </w:rPr>
              <w:t>Phase 1</w:t>
            </w:r>
          </w:p>
        </w:tc>
        <w:tc>
          <w:tcPr>
            <w:tcW w:w="4302" w:type="dxa"/>
          </w:tcPr>
          <w:p w14:paraId="5D39DD40" w14:textId="24C9D625" w:rsidR="00265B4E" w:rsidRPr="00744AB2" w:rsidRDefault="00265B4E" w:rsidP="00265B4E">
            <w:pPr>
              <w:rPr>
                <w:lang w:val="en-US"/>
              </w:rPr>
            </w:pPr>
            <w:r w:rsidRPr="00744AB2">
              <w:rPr>
                <w:lang w:val="en-US"/>
              </w:rPr>
              <w:t>Data collection and validation</w:t>
            </w:r>
            <w:r w:rsidR="004711A5" w:rsidRPr="00744AB2">
              <w:rPr>
                <w:lang w:val="en-US"/>
              </w:rPr>
              <w:t xml:space="preserve"> (Inception report)</w:t>
            </w:r>
          </w:p>
        </w:tc>
        <w:tc>
          <w:tcPr>
            <w:tcW w:w="3212" w:type="dxa"/>
          </w:tcPr>
          <w:p w14:paraId="0FE9CABA" w14:textId="0A2640C5" w:rsidR="00265B4E" w:rsidRPr="00BC2FFB" w:rsidRDefault="00A66D48" w:rsidP="00A66D48">
            <w:pPr>
              <w:rPr>
                <w:lang w:val="en-US"/>
              </w:rPr>
            </w:pPr>
            <w:r w:rsidRPr="00744AB2">
              <w:rPr>
                <w:lang w:val="en-US"/>
              </w:rPr>
              <w:t xml:space="preserve">Week </w:t>
            </w:r>
            <w:r w:rsidR="004711A5" w:rsidRPr="00744AB2">
              <w:rPr>
                <w:lang w:val="en-US"/>
              </w:rPr>
              <w:t>2</w:t>
            </w:r>
            <w:r w:rsidRPr="00744AB2">
              <w:rPr>
                <w:lang w:val="en-US"/>
              </w:rPr>
              <w:t>-</w:t>
            </w:r>
            <w:r w:rsidR="0068674B">
              <w:rPr>
                <w:lang w:val="en-US"/>
              </w:rPr>
              <w:t>4</w:t>
            </w:r>
          </w:p>
        </w:tc>
      </w:tr>
      <w:tr w:rsidR="00265B4E" w:rsidRPr="004711A5" w14:paraId="58B62587" w14:textId="77777777" w:rsidTr="00744AB2">
        <w:tc>
          <w:tcPr>
            <w:tcW w:w="2122" w:type="dxa"/>
          </w:tcPr>
          <w:p w14:paraId="4DF377A9" w14:textId="44E5CECC" w:rsidR="00265B4E" w:rsidRPr="00BC2FFB" w:rsidRDefault="00265B4E" w:rsidP="00265B4E">
            <w:pPr>
              <w:rPr>
                <w:lang w:val="en-US"/>
              </w:rPr>
            </w:pPr>
            <w:r w:rsidRPr="00BC2FFB">
              <w:rPr>
                <w:lang w:val="en-US"/>
              </w:rPr>
              <w:lastRenderedPageBreak/>
              <w:t>Phase 2</w:t>
            </w:r>
          </w:p>
        </w:tc>
        <w:tc>
          <w:tcPr>
            <w:tcW w:w="4302" w:type="dxa"/>
          </w:tcPr>
          <w:p w14:paraId="10426311" w14:textId="2B3C70F9" w:rsidR="00265B4E" w:rsidRPr="00BC2FFB" w:rsidRDefault="00265B4E" w:rsidP="00265B4E">
            <w:pPr>
              <w:rPr>
                <w:lang w:val="en-US"/>
              </w:rPr>
            </w:pPr>
            <w:r w:rsidRPr="00BC2FFB">
              <w:rPr>
                <w:lang w:val="en-US"/>
              </w:rPr>
              <w:t>Model design and draft version</w:t>
            </w:r>
            <w:r w:rsidR="00BC2FFB">
              <w:rPr>
                <w:lang w:val="en-US"/>
              </w:rPr>
              <w:t xml:space="preserve"> + Institutional diagnosis report</w:t>
            </w:r>
          </w:p>
        </w:tc>
        <w:tc>
          <w:tcPr>
            <w:tcW w:w="3212" w:type="dxa"/>
          </w:tcPr>
          <w:p w14:paraId="5DDF4064" w14:textId="35BDDD10" w:rsidR="00265B4E" w:rsidRPr="00BC2FFB" w:rsidRDefault="00A66D48" w:rsidP="00A66D48">
            <w:pPr>
              <w:rPr>
                <w:lang w:val="en-US"/>
              </w:rPr>
            </w:pPr>
            <w:r w:rsidRPr="00BC2FFB">
              <w:rPr>
                <w:lang w:val="en-US"/>
              </w:rPr>
              <w:t>Week 5-10</w:t>
            </w:r>
          </w:p>
        </w:tc>
      </w:tr>
      <w:tr w:rsidR="00265B4E" w:rsidRPr="004711A5" w14:paraId="01942B74" w14:textId="77777777" w:rsidTr="00744AB2">
        <w:tc>
          <w:tcPr>
            <w:tcW w:w="2122" w:type="dxa"/>
          </w:tcPr>
          <w:p w14:paraId="5ECA86C8" w14:textId="55D58B5D" w:rsidR="00265B4E" w:rsidRPr="00BC2FFB" w:rsidRDefault="00265B4E" w:rsidP="00265B4E">
            <w:pPr>
              <w:rPr>
                <w:lang w:val="en-US"/>
              </w:rPr>
            </w:pPr>
            <w:r w:rsidRPr="00BC2FFB">
              <w:rPr>
                <w:lang w:val="en-US"/>
              </w:rPr>
              <w:t>Phase 3</w:t>
            </w:r>
          </w:p>
        </w:tc>
        <w:tc>
          <w:tcPr>
            <w:tcW w:w="4302" w:type="dxa"/>
          </w:tcPr>
          <w:p w14:paraId="1AA17F39" w14:textId="05A6169B" w:rsidR="00265B4E" w:rsidRPr="00BC2FFB" w:rsidRDefault="00265B4E" w:rsidP="00265B4E">
            <w:pPr>
              <w:rPr>
                <w:lang w:val="en-US"/>
              </w:rPr>
            </w:pPr>
            <w:r w:rsidRPr="00BC2FFB">
              <w:rPr>
                <w:lang w:val="en-US"/>
              </w:rPr>
              <w:t>Internal review and revisions</w:t>
            </w:r>
          </w:p>
        </w:tc>
        <w:tc>
          <w:tcPr>
            <w:tcW w:w="3212" w:type="dxa"/>
          </w:tcPr>
          <w:p w14:paraId="409A7C02" w14:textId="12133B4C" w:rsidR="00265B4E" w:rsidRPr="00BC2FFB" w:rsidRDefault="00A66D48" w:rsidP="00A66D48">
            <w:pPr>
              <w:rPr>
                <w:lang w:val="en-US"/>
              </w:rPr>
            </w:pPr>
            <w:r w:rsidRPr="00BC2FFB">
              <w:rPr>
                <w:lang w:val="en-US"/>
              </w:rPr>
              <w:t>Week 11-13</w:t>
            </w:r>
          </w:p>
        </w:tc>
      </w:tr>
      <w:tr w:rsidR="00265B4E" w:rsidRPr="004711A5" w14:paraId="49533E2C" w14:textId="77777777" w:rsidTr="00744AB2">
        <w:tc>
          <w:tcPr>
            <w:tcW w:w="2122" w:type="dxa"/>
          </w:tcPr>
          <w:p w14:paraId="2C53A2A3" w14:textId="257A7D3A" w:rsidR="00265B4E" w:rsidRPr="00BC2FFB" w:rsidRDefault="00265B4E" w:rsidP="00265B4E">
            <w:pPr>
              <w:rPr>
                <w:lang w:val="en-US"/>
              </w:rPr>
            </w:pPr>
            <w:r w:rsidRPr="00BC2FFB">
              <w:rPr>
                <w:lang w:val="en-US"/>
              </w:rPr>
              <w:t>Phase 4</w:t>
            </w:r>
          </w:p>
        </w:tc>
        <w:tc>
          <w:tcPr>
            <w:tcW w:w="4302" w:type="dxa"/>
          </w:tcPr>
          <w:p w14:paraId="1F93021D" w14:textId="325BCAB7" w:rsidR="00265B4E" w:rsidRPr="00BC2FFB" w:rsidRDefault="00265B4E" w:rsidP="00265B4E">
            <w:pPr>
              <w:rPr>
                <w:lang w:val="en-US"/>
              </w:rPr>
            </w:pPr>
            <w:r w:rsidRPr="00BC2FFB">
              <w:rPr>
                <w:lang w:val="en-US"/>
              </w:rPr>
              <w:t>Delivery of fin</w:t>
            </w:r>
            <w:r w:rsidR="004711A5" w:rsidRPr="00BC2FFB">
              <w:rPr>
                <w:lang w:val="en-US"/>
              </w:rPr>
              <w:t xml:space="preserve">ancial </w:t>
            </w:r>
            <w:r w:rsidRPr="00BC2FFB">
              <w:rPr>
                <w:lang w:val="en-US"/>
              </w:rPr>
              <w:t xml:space="preserve">model </w:t>
            </w:r>
            <w:r w:rsidR="00D8209B" w:rsidRPr="00BC2FFB">
              <w:rPr>
                <w:lang w:val="en-US"/>
              </w:rPr>
              <w:t>+ program</w:t>
            </w:r>
            <w:r w:rsidR="004711A5" w:rsidRPr="00BC2FFB">
              <w:rPr>
                <w:lang w:val="en-US"/>
              </w:rPr>
              <w:t xml:space="preserve"> design (loan + TA facility)</w:t>
            </w:r>
          </w:p>
        </w:tc>
        <w:tc>
          <w:tcPr>
            <w:tcW w:w="3212" w:type="dxa"/>
          </w:tcPr>
          <w:p w14:paraId="65C4C8AB" w14:textId="65EC12C5" w:rsidR="00265B4E" w:rsidRPr="00BC2FFB" w:rsidRDefault="00A66D48" w:rsidP="00A66D48">
            <w:pPr>
              <w:rPr>
                <w:lang w:val="en-US"/>
              </w:rPr>
            </w:pPr>
            <w:r w:rsidRPr="00BC2FFB">
              <w:rPr>
                <w:lang w:val="en-US"/>
              </w:rPr>
              <w:t>Week 14</w:t>
            </w:r>
          </w:p>
        </w:tc>
      </w:tr>
      <w:tr w:rsidR="00265B4E" w:rsidRPr="004711A5" w14:paraId="378398DC" w14:textId="77777777" w:rsidTr="00744AB2">
        <w:tc>
          <w:tcPr>
            <w:tcW w:w="2122" w:type="dxa"/>
          </w:tcPr>
          <w:p w14:paraId="1984EB50" w14:textId="354884FE" w:rsidR="00265B4E" w:rsidRPr="00BC2FFB" w:rsidRDefault="00265B4E" w:rsidP="00265B4E">
            <w:pPr>
              <w:rPr>
                <w:lang w:val="en-US"/>
              </w:rPr>
            </w:pPr>
            <w:r w:rsidRPr="00BC2FFB">
              <w:rPr>
                <w:lang w:val="en-US"/>
              </w:rPr>
              <w:t>Phase 5</w:t>
            </w:r>
          </w:p>
        </w:tc>
        <w:tc>
          <w:tcPr>
            <w:tcW w:w="4302" w:type="dxa"/>
          </w:tcPr>
          <w:p w14:paraId="1B4420ED" w14:textId="67B6E5D4" w:rsidR="00265B4E" w:rsidRPr="00BC2FFB" w:rsidRDefault="00265B4E" w:rsidP="00265B4E">
            <w:pPr>
              <w:rPr>
                <w:lang w:val="en-US"/>
              </w:rPr>
            </w:pPr>
            <w:r w:rsidRPr="00BC2FFB">
              <w:rPr>
                <w:lang w:val="en-US"/>
              </w:rPr>
              <w:t>Training and closing presentation</w:t>
            </w:r>
          </w:p>
        </w:tc>
        <w:tc>
          <w:tcPr>
            <w:tcW w:w="3212" w:type="dxa"/>
          </w:tcPr>
          <w:p w14:paraId="1FAFD4CE" w14:textId="78C117C5" w:rsidR="00265B4E" w:rsidRPr="00BC2FFB" w:rsidRDefault="00A66D48" w:rsidP="00265B4E">
            <w:pPr>
              <w:rPr>
                <w:lang w:val="en-US"/>
              </w:rPr>
            </w:pPr>
            <w:r w:rsidRPr="00BC2FFB">
              <w:rPr>
                <w:lang w:val="en-US"/>
              </w:rPr>
              <w:t>Week 1</w:t>
            </w:r>
            <w:r w:rsidR="006D62BF" w:rsidRPr="00BC2FFB">
              <w:rPr>
                <w:lang w:val="en-US"/>
              </w:rPr>
              <w:t>6</w:t>
            </w:r>
          </w:p>
        </w:tc>
      </w:tr>
    </w:tbl>
    <w:p w14:paraId="1B15F327" w14:textId="77777777" w:rsidR="00265B4E" w:rsidRPr="004711A5" w:rsidRDefault="00265B4E" w:rsidP="00265B4E">
      <w:pPr>
        <w:rPr>
          <w:sz w:val="22"/>
          <w:szCs w:val="22"/>
          <w:lang w:val="en-US"/>
        </w:rPr>
      </w:pPr>
    </w:p>
    <w:sectPr w:rsidR="00265B4E" w:rsidRPr="004711A5">
      <w:headerReference w:type="default" r:id="rId12"/>
      <w:footerReference w:type="default" r:id="rId13"/>
      <w:pgSz w:w="11900" w:h="16840"/>
      <w:pgMar w:top="1134" w:right="1120" w:bottom="680" w:left="1134" w:header="113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75EE4" w14:textId="77777777" w:rsidR="007E2281" w:rsidRDefault="007E2281" w:rsidP="006C6D55">
      <w:r>
        <w:separator/>
      </w:r>
    </w:p>
  </w:endnote>
  <w:endnote w:type="continuationSeparator" w:id="0">
    <w:p w14:paraId="1BE93FB2" w14:textId="77777777" w:rsidR="007E2281" w:rsidRDefault="007E2281" w:rsidP="006C6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5296D" w14:textId="22BDD160" w:rsidR="005A2224" w:rsidRDefault="005A2224" w:rsidP="00FD4A16">
    <w:pPr>
      <w:pStyle w:val="Pieddepage"/>
      <w:rPr>
        <w:rFonts w:asciiTheme="majorHAnsi" w:eastAsiaTheme="majorEastAsia" w:hAnsiTheme="majorHAnsi" w:cstheme="majorBidi"/>
      </w:rPr>
    </w:pPr>
    <w:r>
      <w:rPr>
        <w:rFonts w:ascii="Calibri" w:eastAsia="Calibri" w:hAnsi="Calibri"/>
        <w:sz w:val="22"/>
        <w:szCs w:val="22"/>
        <w:lang w:eastAsia="en-US"/>
      </w:rPr>
      <w:tab/>
      <w:t xml:space="preserve">     </w:t>
    </w:r>
    <w:r>
      <w:rPr>
        <w:rFonts w:ascii="Calibri" w:eastAsia="Calibri" w:hAnsi="Calibri"/>
        <w:sz w:val="22"/>
        <w:szCs w:val="22"/>
        <w:lang w:eastAsia="en-US"/>
      </w:rPr>
      <w:tab/>
    </w:r>
    <w:r w:rsidRPr="00D25DC6">
      <w:rPr>
        <w:rFonts w:asciiTheme="majorHAnsi" w:eastAsiaTheme="majorEastAsia" w:hAnsiTheme="majorHAnsi" w:cstheme="majorBidi"/>
      </w:rPr>
      <w:t xml:space="preserve">Page </w:t>
    </w:r>
    <w:r w:rsidRPr="00D25DC6">
      <w:rPr>
        <w:rFonts w:asciiTheme="majorHAnsi" w:eastAsiaTheme="majorEastAsia" w:hAnsiTheme="majorHAnsi" w:cstheme="majorBidi"/>
        <w:b/>
      </w:rPr>
      <w:fldChar w:fldCharType="begin"/>
    </w:r>
    <w:r w:rsidRPr="00D25DC6">
      <w:rPr>
        <w:rFonts w:asciiTheme="majorHAnsi" w:eastAsiaTheme="majorEastAsia" w:hAnsiTheme="majorHAnsi" w:cstheme="majorBidi"/>
        <w:b/>
      </w:rPr>
      <w:instrText>PAGE  \* Arabic  \* MERGEFORMAT</w:instrText>
    </w:r>
    <w:r w:rsidRPr="00D25DC6">
      <w:rPr>
        <w:rFonts w:asciiTheme="majorHAnsi" w:eastAsiaTheme="majorEastAsia" w:hAnsiTheme="majorHAnsi" w:cstheme="majorBidi"/>
        <w:b/>
      </w:rPr>
      <w:fldChar w:fldCharType="separate"/>
    </w:r>
    <w:r w:rsidR="00EE38F5">
      <w:rPr>
        <w:rFonts w:asciiTheme="majorHAnsi" w:eastAsiaTheme="majorEastAsia" w:hAnsiTheme="majorHAnsi" w:cstheme="majorBidi"/>
        <w:b/>
        <w:noProof/>
      </w:rPr>
      <w:t>8</w:t>
    </w:r>
    <w:r w:rsidRPr="00D25DC6">
      <w:rPr>
        <w:rFonts w:asciiTheme="majorHAnsi" w:eastAsiaTheme="majorEastAsia" w:hAnsiTheme="majorHAnsi" w:cstheme="majorBidi"/>
        <w:b/>
      </w:rPr>
      <w:fldChar w:fldCharType="end"/>
    </w:r>
    <w:r w:rsidRPr="00D25DC6">
      <w:rPr>
        <w:rFonts w:asciiTheme="majorHAnsi" w:eastAsiaTheme="majorEastAsia" w:hAnsiTheme="majorHAnsi" w:cstheme="majorBidi"/>
      </w:rPr>
      <w:t xml:space="preserve"> sur </w:t>
    </w:r>
    <w:r w:rsidRPr="00D25DC6">
      <w:rPr>
        <w:rFonts w:asciiTheme="majorHAnsi" w:eastAsiaTheme="majorEastAsia" w:hAnsiTheme="majorHAnsi" w:cstheme="majorBidi"/>
        <w:b/>
      </w:rPr>
      <w:fldChar w:fldCharType="begin"/>
    </w:r>
    <w:r w:rsidRPr="00D25DC6">
      <w:rPr>
        <w:rFonts w:asciiTheme="majorHAnsi" w:eastAsiaTheme="majorEastAsia" w:hAnsiTheme="majorHAnsi" w:cstheme="majorBidi"/>
        <w:b/>
      </w:rPr>
      <w:instrText>NUMPAGES  \* Arabic  \* MERGEFORMAT</w:instrText>
    </w:r>
    <w:r w:rsidRPr="00D25DC6">
      <w:rPr>
        <w:rFonts w:asciiTheme="majorHAnsi" w:eastAsiaTheme="majorEastAsia" w:hAnsiTheme="majorHAnsi" w:cstheme="majorBidi"/>
        <w:b/>
      </w:rPr>
      <w:fldChar w:fldCharType="separate"/>
    </w:r>
    <w:r w:rsidR="00EE38F5">
      <w:rPr>
        <w:rFonts w:asciiTheme="majorHAnsi" w:eastAsiaTheme="majorEastAsia" w:hAnsiTheme="majorHAnsi" w:cstheme="majorBidi"/>
        <w:b/>
        <w:noProof/>
      </w:rPr>
      <w:t>8</w:t>
    </w:r>
    <w:r w:rsidRPr="00D25DC6">
      <w:rPr>
        <w:rFonts w:asciiTheme="majorHAnsi" w:eastAsiaTheme="majorEastAsia" w:hAnsiTheme="majorHAnsi" w:cstheme="majorBidi"/>
        <w:b/>
      </w:rPr>
      <w:fldChar w:fldCharType="end"/>
    </w:r>
  </w:p>
  <w:p w14:paraId="13132D51" w14:textId="77777777" w:rsidR="005A2224" w:rsidRDefault="005A222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7B4A0" w14:textId="77777777" w:rsidR="007E2281" w:rsidRDefault="007E2281" w:rsidP="006C6D55">
      <w:r>
        <w:separator/>
      </w:r>
    </w:p>
  </w:footnote>
  <w:footnote w:type="continuationSeparator" w:id="0">
    <w:p w14:paraId="0878C3FE" w14:textId="77777777" w:rsidR="007E2281" w:rsidRDefault="007E2281" w:rsidP="006C6D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01692" w14:textId="77777777" w:rsidR="005A2224" w:rsidRPr="007574CF" w:rsidRDefault="005A2224" w:rsidP="007574CF">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Arial" w:hAnsi="Arial" w:cs="Arial"/>
        <w:b/>
        <w:noProof/>
        <w:sz w:val="28"/>
      </w:rPr>
      <w:drawing>
        <wp:inline distT="0" distB="0" distL="0" distR="0" wp14:anchorId="7CCC251A" wp14:editId="3EB85CA4">
          <wp:extent cx="1685925" cy="75225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7084" cy="75277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D742C"/>
    <w:multiLevelType w:val="multilevel"/>
    <w:tmpl w:val="26ACE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082E8A"/>
    <w:multiLevelType w:val="hybridMultilevel"/>
    <w:tmpl w:val="ADF4F858"/>
    <w:lvl w:ilvl="0" w:tplc="AFAC0A18">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BA7854"/>
    <w:multiLevelType w:val="hybridMultilevel"/>
    <w:tmpl w:val="F5CE7818"/>
    <w:lvl w:ilvl="0" w:tplc="719CCCE2">
      <w:start w:val="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5643FAC"/>
    <w:multiLevelType w:val="hybridMultilevel"/>
    <w:tmpl w:val="C418778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78D21F9"/>
    <w:multiLevelType w:val="hybridMultilevel"/>
    <w:tmpl w:val="B2ACF132"/>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EE65E2"/>
    <w:multiLevelType w:val="hybridMultilevel"/>
    <w:tmpl w:val="A294A2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404922"/>
    <w:multiLevelType w:val="hybridMultilevel"/>
    <w:tmpl w:val="A120B90C"/>
    <w:lvl w:ilvl="0" w:tplc="719CCCE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4E0541"/>
    <w:multiLevelType w:val="multilevel"/>
    <w:tmpl w:val="731C8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125902"/>
    <w:multiLevelType w:val="hybridMultilevel"/>
    <w:tmpl w:val="D0AE5E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AF3CD8"/>
    <w:multiLevelType w:val="multilevel"/>
    <w:tmpl w:val="B49EA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8F54B8"/>
    <w:multiLevelType w:val="multilevel"/>
    <w:tmpl w:val="E1E4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7C4A15"/>
    <w:multiLevelType w:val="multilevel"/>
    <w:tmpl w:val="ABF8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466194"/>
    <w:multiLevelType w:val="hybridMultilevel"/>
    <w:tmpl w:val="D8B2A3F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14204B"/>
    <w:multiLevelType w:val="hybridMultilevel"/>
    <w:tmpl w:val="2D9C06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697419"/>
    <w:multiLevelType w:val="multilevel"/>
    <w:tmpl w:val="570014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C52AE3"/>
    <w:multiLevelType w:val="multilevel"/>
    <w:tmpl w:val="2B38676E"/>
    <w:lvl w:ilvl="0">
      <w:start w:val="1"/>
      <w:numFmt w:val="decimal"/>
      <w:pStyle w:val="Titre1"/>
      <w:lvlText w:val="ARTICLE %1."/>
      <w:lvlJc w:val="left"/>
      <w:pPr>
        <w:ind w:left="2062" w:hanging="360"/>
      </w:pPr>
      <w:rPr>
        <w:rFonts w:ascii="Times New Roman" w:hAnsi="Times New Roman"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isLgl/>
      <w:lvlText w:val="%1.%2"/>
      <w:lvlJc w:val="left"/>
      <w:pPr>
        <w:tabs>
          <w:tab w:val="num" w:pos="1353"/>
        </w:tabs>
        <w:ind w:left="1353" w:hanging="360"/>
      </w:pPr>
      <w:rPr>
        <w:rFonts w:cs="Times New Roman" w:hint="default"/>
      </w:rPr>
    </w:lvl>
    <w:lvl w:ilvl="2">
      <w:start w:val="1"/>
      <w:numFmt w:val="none"/>
      <w:pStyle w:val="Titre3"/>
      <w:isLgl/>
      <w:lvlText w:val=""/>
      <w:lvlJc w:val="left"/>
      <w:pPr>
        <w:tabs>
          <w:tab w:val="num" w:pos="1496"/>
        </w:tabs>
        <w:ind w:left="1496" w:hanging="720"/>
      </w:pPr>
      <w:rPr>
        <w:rFonts w:cs="Times New Roman" w:hint="default"/>
      </w:rPr>
    </w:lvl>
    <w:lvl w:ilvl="3">
      <w:start w:val="1"/>
      <w:numFmt w:val="decimal"/>
      <w:isLgl/>
      <w:lvlText w:val="%1.%2.%3.%4"/>
      <w:lvlJc w:val="left"/>
      <w:pPr>
        <w:tabs>
          <w:tab w:val="num" w:pos="1704"/>
        </w:tabs>
        <w:ind w:left="1704" w:hanging="720"/>
      </w:pPr>
      <w:rPr>
        <w:rFonts w:cs="Times New Roman" w:hint="default"/>
      </w:rPr>
    </w:lvl>
    <w:lvl w:ilvl="4">
      <w:start w:val="1"/>
      <w:numFmt w:val="decimal"/>
      <w:isLgl/>
      <w:lvlText w:val="%1.%2.%3.%4.%5"/>
      <w:lvlJc w:val="left"/>
      <w:pPr>
        <w:tabs>
          <w:tab w:val="num" w:pos="2272"/>
        </w:tabs>
        <w:ind w:left="2272" w:hanging="1080"/>
      </w:pPr>
      <w:rPr>
        <w:rFonts w:cs="Times New Roman" w:hint="default"/>
      </w:rPr>
    </w:lvl>
    <w:lvl w:ilvl="5">
      <w:start w:val="1"/>
      <w:numFmt w:val="decimal"/>
      <w:isLgl/>
      <w:lvlText w:val="%1.%2.%3.%4.%5.%6"/>
      <w:lvlJc w:val="left"/>
      <w:pPr>
        <w:tabs>
          <w:tab w:val="num" w:pos="2480"/>
        </w:tabs>
        <w:ind w:left="2480" w:hanging="1080"/>
      </w:pPr>
      <w:rPr>
        <w:rFonts w:cs="Times New Roman" w:hint="default"/>
      </w:rPr>
    </w:lvl>
    <w:lvl w:ilvl="6">
      <w:start w:val="1"/>
      <w:numFmt w:val="decimal"/>
      <w:isLgl/>
      <w:lvlText w:val="%1.%2.%3.%4.%5.%6.%7"/>
      <w:lvlJc w:val="left"/>
      <w:pPr>
        <w:tabs>
          <w:tab w:val="num" w:pos="3048"/>
        </w:tabs>
        <w:ind w:left="3048" w:hanging="1440"/>
      </w:pPr>
      <w:rPr>
        <w:rFonts w:cs="Times New Roman" w:hint="default"/>
      </w:rPr>
    </w:lvl>
    <w:lvl w:ilvl="7">
      <w:start w:val="1"/>
      <w:numFmt w:val="decimal"/>
      <w:isLgl/>
      <w:lvlText w:val="%1.%2.%3.%4.%5.%6.%7.%8"/>
      <w:lvlJc w:val="left"/>
      <w:pPr>
        <w:tabs>
          <w:tab w:val="num" w:pos="3256"/>
        </w:tabs>
        <w:ind w:left="3256" w:hanging="1440"/>
      </w:pPr>
      <w:rPr>
        <w:rFonts w:cs="Times New Roman" w:hint="default"/>
      </w:rPr>
    </w:lvl>
    <w:lvl w:ilvl="8">
      <w:start w:val="1"/>
      <w:numFmt w:val="decimal"/>
      <w:isLgl/>
      <w:lvlText w:val="%1.%2.%3.%4.%5.%6.%7.%8.%9"/>
      <w:lvlJc w:val="left"/>
      <w:pPr>
        <w:tabs>
          <w:tab w:val="num" w:pos="3824"/>
        </w:tabs>
        <w:ind w:left="3824" w:hanging="1800"/>
      </w:pPr>
      <w:rPr>
        <w:rFonts w:cs="Times New Roman" w:hint="default"/>
      </w:rPr>
    </w:lvl>
  </w:abstractNum>
  <w:abstractNum w:abstractNumId="16" w15:restartNumberingAfterBreak="0">
    <w:nsid w:val="45E51F1F"/>
    <w:multiLevelType w:val="multilevel"/>
    <w:tmpl w:val="232E1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0641F0"/>
    <w:multiLevelType w:val="multilevel"/>
    <w:tmpl w:val="1478B770"/>
    <w:styleLink w:val="StyleAvecpuces"/>
    <w:lvl w:ilvl="0">
      <w:start w:val="1"/>
      <w:numFmt w:val="bullet"/>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CB2F3F"/>
    <w:multiLevelType w:val="hybridMultilevel"/>
    <w:tmpl w:val="695C49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4C0197"/>
    <w:multiLevelType w:val="multilevel"/>
    <w:tmpl w:val="6F72D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9D2E17"/>
    <w:multiLevelType w:val="hybridMultilevel"/>
    <w:tmpl w:val="7CC064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652EFC"/>
    <w:multiLevelType w:val="multilevel"/>
    <w:tmpl w:val="47C0F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652409"/>
    <w:multiLevelType w:val="hybridMultilevel"/>
    <w:tmpl w:val="4CC0F7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90E3541"/>
    <w:multiLevelType w:val="hybridMultilevel"/>
    <w:tmpl w:val="714A8FE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9B25B0E"/>
    <w:multiLevelType w:val="hybridMultilevel"/>
    <w:tmpl w:val="038462A0"/>
    <w:lvl w:ilvl="0" w:tplc="040C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5A1344C7"/>
    <w:multiLevelType w:val="hybridMultilevel"/>
    <w:tmpl w:val="979265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C587843"/>
    <w:multiLevelType w:val="hybridMultilevel"/>
    <w:tmpl w:val="64F482AC"/>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D695886"/>
    <w:multiLevelType w:val="multilevel"/>
    <w:tmpl w:val="BF6AD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A22CDE"/>
    <w:multiLevelType w:val="hybridMultilevel"/>
    <w:tmpl w:val="014E849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656470A7"/>
    <w:multiLevelType w:val="hybridMultilevel"/>
    <w:tmpl w:val="E9449D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9FF1BB7"/>
    <w:multiLevelType w:val="multilevel"/>
    <w:tmpl w:val="F9502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742DB0"/>
    <w:multiLevelType w:val="hybridMultilevel"/>
    <w:tmpl w:val="E66425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9F25E9"/>
    <w:multiLevelType w:val="hybridMultilevel"/>
    <w:tmpl w:val="0874983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7D7541C3"/>
    <w:multiLevelType w:val="multilevel"/>
    <w:tmpl w:val="10AC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7401FB"/>
    <w:multiLevelType w:val="multilevel"/>
    <w:tmpl w:val="61126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3C691D"/>
    <w:multiLevelType w:val="multilevel"/>
    <w:tmpl w:val="A92C7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6603408">
    <w:abstractNumId w:val="15"/>
  </w:num>
  <w:num w:numId="2" w16cid:durableId="716586883">
    <w:abstractNumId w:val="17"/>
  </w:num>
  <w:num w:numId="3" w16cid:durableId="542715285">
    <w:abstractNumId w:val="12"/>
  </w:num>
  <w:num w:numId="4" w16cid:durableId="142553991">
    <w:abstractNumId w:val="6"/>
  </w:num>
  <w:num w:numId="5" w16cid:durableId="349916697">
    <w:abstractNumId w:val="14"/>
  </w:num>
  <w:num w:numId="6" w16cid:durableId="798180628">
    <w:abstractNumId w:val="30"/>
  </w:num>
  <w:num w:numId="7" w16cid:durableId="1790127775">
    <w:abstractNumId w:val="7"/>
  </w:num>
  <w:num w:numId="8" w16cid:durableId="2095662467">
    <w:abstractNumId w:val="19"/>
  </w:num>
  <w:num w:numId="9" w16cid:durableId="1268737252">
    <w:abstractNumId w:val="3"/>
  </w:num>
  <w:num w:numId="10" w16cid:durableId="4737177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3806430">
    <w:abstractNumId w:val="11"/>
  </w:num>
  <w:num w:numId="12" w16cid:durableId="1603956490">
    <w:abstractNumId w:val="9"/>
  </w:num>
  <w:num w:numId="13" w16cid:durableId="1742554110">
    <w:abstractNumId w:val="34"/>
  </w:num>
  <w:num w:numId="14" w16cid:durableId="403184704">
    <w:abstractNumId w:val="16"/>
  </w:num>
  <w:num w:numId="15" w16cid:durableId="1559126358">
    <w:abstractNumId w:val="27"/>
  </w:num>
  <w:num w:numId="16" w16cid:durableId="1431587000">
    <w:abstractNumId w:val="1"/>
  </w:num>
  <w:num w:numId="17" w16cid:durableId="1472868065">
    <w:abstractNumId w:val="23"/>
  </w:num>
  <w:num w:numId="18" w16cid:durableId="1557594440">
    <w:abstractNumId w:val="35"/>
  </w:num>
  <w:num w:numId="19" w16cid:durableId="1598712168">
    <w:abstractNumId w:val="5"/>
  </w:num>
  <w:num w:numId="20" w16cid:durableId="514149983">
    <w:abstractNumId w:val="22"/>
  </w:num>
  <w:num w:numId="21" w16cid:durableId="780344266">
    <w:abstractNumId w:val="10"/>
  </w:num>
  <w:num w:numId="22" w16cid:durableId="39519818">
    <w:abstractNumId w:val="21"/>
  </w:num>
  <w:num w:numId="23" w16cid:durableId="512034963">
    <w:abstractNumId w:val="0"/>
  </w:num>
  <w:num w:numId="24" w16cid:durableId="947616877">
    <w:abstractNumId w:val="13"/>
  </w:num>
  <w:num w:numId="25" w16cid:durableId="1948847157">
    <w:abstractNumId w:val="18"/>
  </w:num>
  <w:num w:numId="26" w16cid:durableId="693965117">
    <w:abstractNumId w:val="2"/>
  </w:num>
  <w:num w:numId="27" w16cid:durableId="1969237096">
    <w:abstractNumId w:val="4"/>
  </w:num>
  <w:num w:numId="28" w16cid:durableId="1679699554">
    <w:abstractNumId w:val="8"/>
  </w:num>
  <w:num w:numId="29" w16cid:durableId="894194002">
    <w:abstractNumId w:val="32"/>
  </w:num>
  <w:num w:numId="30" w16cid:durableId="1644117078">
    <w:abstractNumId w:val="24"/>
  </w:num>
  <w:num w:numId="31" w16cid:durableId="1519343407">
    <w:abstractNumId w:val="29"/>
  </w:num>
  <w:num w:numId="32" w16cid:durableId="796871460">
    <w:abstractNumId w:val="28"/>
  </w:num>
  <w:num w:numId="33" w16cid:durableId="1805274352">
    <w:abstractNumId w:val="25"/>
  </w:num>
  <w:num w:numId="34" w16cid:durableId="1647130334">
    <w:abstractNumId w:val="26"/>
  </w:num>
  <w:num w:numId="35" w16cid:durableId="1950501368">
    <w:abstractNumId w:val="31"/>
  </w:num>
  <w:num w:numId="36" w16cid:durableId="460001763">
    <w:abstractNumId w:val="20"/>
  </w:num>
  <w:num w:numId="37" w16cid:durableId="1201211972">
    <w:abstractNumId w:val="33"/>
  </w:num>
  <w:num w:numId="38" w16cid:durableId="1831097676">
    <w:abstractNumId w:val="15"/>
  </w:num>
  <w:num w:numId="39" w16cid:durableId="88055728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ZA"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en-ZA"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3AC"/>
    <w:rsid w:val="00002D6F"/>
    <w:rsid w:val="00003A01"/>
    <w:rsid w:val="0000513F"/>
    <w:rsid w:val="0001160B"/>
    <w:rsid w:val="00023079"/>
    <w:rsid w:val="00033BFC"/>
    <w:rsid w:val="00036FCE"/>
    <w:rsid w:val="00045642"/>
    <w:rsid w:val="00064F19"/>
    <w:rsid w:val="0008132A"/>
    <w:rsid w:val="00084264"/>
    <w:rsid w:val="000939CA"/>
    <w:rsid w:val="000A7555"/>
    <w:rsid w:val="000B3712"/>
    <w:rsid w:val="000B7AF5"/>
    <w:rsid w:val="000C2ED0"/>
    <w:rsid w:val="000C5EB7"/>
    <w:rsid w:val="000D18C5"/>
    <w:rsid w:val="000E5F7E"/>
    <w:rsid w:val="000F032B"/>
    <w:rsid w:val="0011075B"/>
    <w:rsid w:val="001118B1"/>
    <w:rsid w:val="00114DA1"/>
    <w:rsid w:val="001173D1"/>
    <w:rsid w:val="00123FFD"/>
    <w:rsid w:val="001345D2"/>
    <w:rsid w:val="0017366E"/>
    <w:rsid w:val="00174AD5"/>
    <w:rsid w:val="001800BB"/>
    <w:rsid w:val="001A26E2"/>
    <w:rsid w:val="001B079F"/>
    <w:rsid w:val="001B1D3B"/>
    <w:rsid w:val="001C2495"/>
    <w:rsid w:val="001C2E4F"/>
    <w:rsid w:val="001C3A66"/>
    <w:rsid w:val="001D1862"/>
    <w:rsid w:val="001D63AC"/>
    <w:rsid w:val="001E3D75"/>
    <w:rsid w:val="001F0DCE"/>
    <w:rsid w:val="001F73D4"/>
    <w:rsid w:val="00214E5E"/>
    <w:rsid w:val="0022577C"/>
    <w:rsid w:val="00242728"/>
    <w:rsid w:val="002527BD"/>
    <w:rsid w:val="00265B4E"/>
    <w:rsid w:val="002A0BA5"/>
    <w:rsid w:val="002B1605"/>
    <w:rsid w:val="002B7927"/>
    <w:rsid w:val="002C49EE"/>
    <w:rsid w:val="002E1DA5"/>
    <w:rsid w:val="002E305F"/>
    <w:rsid w:val="002E51D0"/>
    <w:rsid w:val="002F1E2C"/>
    <w:rsid w:val="002F54BA"/>
    <w:rsid w:val="002F5F93"/>
    <w:rsid w:val="00310CAB"/>
    <w:rsid w:val="00314415"/>
    <w:rsid w:val="0031483C"/>
    <w:rsid w:val="00321192"/>
    <w:rsid w:val="003222E0"/>
    <w:rsid w:val="00333A6F"/>
    <w:rsid w:val="0033671B"/>
    <w:rsid w:val="003471AB"/>
    <w:rsid w:val="00347708"/>
    <w:rsid w:val="00377AAC"/>
    <w:rsid w:val="00387101"/>
    <w:rsid w:val="003B4382"/>
    <w:rsid w:val="003B7DB5"/>
    <w:rsid w:val="003C12D4"/>
    <w:rsid w:val="003D3AB1"/>
    <w:rsid w:val="003F22C7"/>
    <w:rsid w:val="003F77D0"/>
    <w:rsid w:val="00400116"/>
    <w:rsid w:val="00420DD9"/>
    <w:rsid w:val="00425771"/>
    <w:rsid w:val="00444EBA"/>
    <w:rsid w:val="004639F4"/>
    <w:rsid w:val="004658D5"/>
    <w:rsid w:val="004677CB"/>
    <w:rsid w:val="004711A5"/>
    <w:rsid w:val="00473EFC"/>
    <w:rsid w:val="00477779"/>
    <w:rsid w:val="00477E97"/>
    <w:rsid w:val="00480C05"/>
    <w:rsid w:val="00492792"/>
    <w:rsid w:val="004A2043"/>
    <w:rsid w:val="004A383B"/>
    <w:rsid w:val="004A77DD"/>
    <w:rsid w:val="004B0FD1"/>
    <w:rsid w:val="004C6078"/>
    <w:rsid w:val="004D11F3"/>
    <w:rsid w:val="004D3491"/>
    <w:rsid w:val="004E6F5D"/>
    <w:rsid w:val="004F2B5B"/>
    <w:rsid w:val="004F374C"/>
    <w:rsid w:val="004F663C"/>
    <w:rsid w:val="005063C0"/>
    <w:rsid w:val="00511078"/>
    <w:rsid w:val="00513ECD"/>
    <w:rsid w:val="0051613A"/>
    <w:rsid w:val="00526720"/>
    <w:rsid w:val="00532A9F"/>
    <w:rsid w:val="00532EEE"/>
    <w:rsid w:val="005532B5"/>
    <w:rsid w:val="00562AAD"/>
    <w:rsid w:val="00575808"/>
    <w:rsid w:val="005814E9"/>
    <w:rsid w:val="00581785"/>
    <w:rsid w:val="00587015"/>
    <w:rsid w:val="00587B3F"/>
    <w:rsid w:val="00590530"/>
    <w:rsid w:val="00594657"/>
    <w:rsid w:val="005A07F8"/>
    <w:rsid w:val="005A2224"/>
    <w:rsid w:val="005C314F"/>
    <w:rsid w:val="005C59AF"/>
    <w:rsid w:val="005D02A1"/>
    <w:rsid w:val="006004A4"/>
    <w:rsid w:val="00602A30"/>
    <w:rsid w:val="00620420"/>
    <w:rsid w:val="006230E8"/>
    <w:rsid w:val="00633CA1"/>
    <w:rsid w:val="006371D4"/>
    <w:rsid w:val="006403E0"/>
    <w:rsid w:val="006415EE"/>
    <w:rsid w:val="00650C40"/>
    <w:rsid w:val="00657694"/>
    <w:rsid w:val="00667292"/>
    <w:rsid w:val="00674ADB"/>
    <w:rsid w:val="00684BD0"/>
    <w:rsid w:val="0068674B"/>
    <w:rsid w:val="006905DC"/>
    <w:rsid w:val="006940E9"/>
    <w:rsid w:val="0069714E"/>
    <w:rsid w:val="006A0394"/>
    <w:rsid w:val="006B1648"/>
    <w:rsid w:val="006C611E"/>
    <w:rsid w:val="006C6D55"/>
    <w:rsid w:val="006D1807"/>
    <w:rsid w:val="006D62BF"/>
    <w:rsid w:val="006E00F1"/>
    <w:rsid w:val="006E6D33"/>
    <w:rsid w:val="007008F1"/>
    <w:rsid w:val="00703573"/>
    <w:rsid w:val="00704D8F"/>
    <w:rsid w:val="0073004C"/>
    <w:rsid w:val="00731B2E"/>
    <w:rsid w:val="0073763C"/>
    <w:rsid w:val="00744AB2"/>
    <w:rsid w:val="007574CF"/>
    <w:rsid w:val="0076380F"/>
    <w:rsid w:val="00773F90"/>
    <w:rsid w:val="00785252"/>
    <w:rsid w:val="007937FE"/>
    <w:rsid w:val="00794D3C"/>
    <w:rsid w:val="007C2F67"/>
    <w:rsid w:val="007E0255"/>
    <w:rsid w:val="007E0B9B"/>
    <w:rsid w:val="007E2281"/>
    <w:rsid w:val="007F2498"/>
    <w:rsid w:val="008000ED"/>
    <w:rsid w:val="008019E4"/>
    <w:rsid w:val="0082528B"/>
    <w:rsid w:val="00832082"/>
    <w:rsid w:val="0084588D"/>
    <w:rsid w:val="00866FC9"/>
    <w:rsid w:val="008841BA"/>
    <w:rsid w:val="00885F97"/>
    <w:rsid w:val="008A0F12"/>
    <w:rsid w:val="008A395E"/>
    <w:rsid w:val="008A54EA"/>
    <w:rsid w:val="008A5F35"/>
    <w:rsid w:val="008A6677"/>
    <w:rsid w:val="008B3635"/>
    <w:rsid w:val="008B43B8"/>
    <w:rsid w:val="008B4A42"/>
    <w:rsid w:val="008D444C"/>
    <w:rsid w:val="008D476D"/>
    <w:rsid w:val="008D5A72"/>
    <w:rsid w:val="008E01D1"/>
    <w:rsid w:val="008E682E"/>
    <w:rsid w:val="008E70C7"/>
    <w:rsid w:val="008F088D"/>
    <w:rsid w:val="008F4D49"/>
    <w:rsid w:val="008F5D68"/>
    <w:rsid w:val="008F5F98"/>
    <w:rsid w:val="0090630E"/>
    <w:rsid w:val="00907BBA"/>
    <w:rsid w:val="00914204"/>
    <w:rsid w:val="00920A66"/>
    <w:rsid w:val="009220CB"/>
    <w:rsid w:val="009222FB"/>
    <w:rsid w:val="00933C20"/>
    <w:rsid w:val="00945D09"/>
    <w:rsid w:val="0097075B"/>
    <w:rsid w:val="009770DB"/>
    <w:rsid w:val="00985D46"/>
    <w:rsid w:val="00987FAD"/>
    <w:rsid w:val="009A1C60"/>
    <w:rsid w:val="009A4FD8"/>
    <w:rsid w:val="009A5FCF"/>
    <w:rsid w:val="009C4198"/>
    <w:rsid w:val="009C46AA"/>
    <w:rsid w:val="009E016B"/>
    <w:rsid w:val="009E4A90"/>
    <w:rsid w:val="009F2391"/>
    <w:rsid w:val="009F521B"/>
    <w:rsid w:val="009F56E6"/>
    <w:rsid w:val="009F7FC3"/>
    <w:rsid w:val="00A0052C"/>
    <w:rsid w:val="00A063C9"/>
    <w:rsid w:val="00A30D51"/>
    <w:rsid w:val="00A37501"/>
    <w:rsid w:val="00A40FA6"/>
    <w:rsid w:val="00A464AB"/>
    <w:rsid w:val="00A552D8"/>
    <w:rsid w:val="00A6175C"/>
    <w:rsid w:val="00A66D48"/>
    <w:rsid w:val="00A80DB1"/>
    <w:rsid w:val="00A86448"/>
    <w:rsid w:val="00A86B3D"/>
    <w:rsid w:val="00A92487"/>
    <w:rsid w:val="00AB0C58"/>
    <w:rsid w:val="00AC4494"/>
    <w:rsid w:val="00AC508D"/>
    <w:rsid w:val="00AD09B3"/>
    <w:rsid w:val="00AE48FF"/>
    <w:rsid w:val="00AE4A81"/>
    <w:rsid w:val="00AF60FD"/>
    <w:rsid w:val="00B06399"/>
    <w:rsid w:val="00B11033"/>
    <w:rsid w:val="00B13BFB"/>
    <w:rsid w:val="00B25847"/>
    <w:rsid w:val="00B34BC6"/>
    <w:rsid w:val="00B35E73"/>
    <w:rsid w:val="00B3788D"/>
    <w:rsid w:val="00B4056C"/>
    <w:rsid w:val="00B65F5A"/>
    <w:rsid w:val="00B73715"/>
    <w:rsid w:val="00B857D6"/>
    <w:rsid w:val="00B879A4"/>
    <w:rsid w:val="00BA296A"/>
    <w:rsid w:val="00BA2E68"/>
    <w:rsid w:val="00BB118B"/>
    <w:rsid w:val="00BB1621"/>
    <w:rsid w:val="00BC2FFB"/>
    <w:rsid w:val="00BD04E8"/>
    <w:rsid w:val="00BE49DE"/>
    <w:rsid w:val="00BF6987"/>
    <w:rsid w:val="00C02151"/>
    <w:rsid w:val="00C15D66"/>
    <w:rsid w:val="00C3298D"/>
    <w:rsid w:val="00C358EA"/>
    <w:rsid w:val="00C62C83"/>
    <w:rsid w:val="00C6621A"/>
    <w:rsid w:val="00C76E20"/>
    <w:rsid w:val="00C76F25"/>
    <w:rsid w:val="00C90BFD"/>
    <w:rsid w:val="00C9142E"/>
    <w:rsid w:val="00C948D7"/>
    <w:rsid w:val="00C970A1"/>
    <w:rsid w:val="00CB4E50"/>
    <w:rsid w:val="00CB50F9"/>
    <w:rsid w:val="00CB6B4A"/>
    <w:rsid w:val="00CB74AD"/>
    <w:rsid w:val="00CC0BCE"/>
    <w:rsid w:val="00CD7DF1"/>
    <w:rsid w:val="00CE3EAD"/>
    <w:rsid w:val="00D0431F"/>
    <w:rsid w:val="00D201DB"/>
    <w:rsid w:val="00D22A95"/>
    <w:rsid w:val="00D25DC6"/>
    <w:rsid w:val="00D33EDA"/>
    <w:rsid w:val="00D35717"/>
    <w:rsid w:val="00D411CD"/>
    <w:rsid w:val="00D474D8"/>
    <w:rsid w:val="00D51CF5"/>
    <w:rsid w:val="00D71F20"/>
    <w:rsid w:val="00D8209B"/>
    <w:rsid w:val="00D92F7B"/>
    <w:rsid w:val="00DA4FB1"/>
    <w:rsid w:val="00DB4043"/>
    <w:rsid w:val="00DC7FF4"/>
    <w:rsid w:val="00DD7056"/>
    <w:rsid w:val="00DE0A65"/>
    <w:rsid w:val="00DE220D"/>
    <w:rsid w:val="00DF55D4"/>
    <w:rsid w:val="00E204E8"/>
    <w:rsid w:val="00E449D8"/>
    <w:rsid w:val="00E4549D"/>
    <w:rsid w:val="00E760B8"/>
    <w:rsid w:val="00E87712"/>
    <w:rsid w:val="00E87BCE"/>
    <w:rsid w:val="00E955F7"/>
    <w:rsid w:val="00EA0968"/>
    <w:rsid w:val="00EA3F96"/>
    <w:rsid w:val="00EB491A"/>
    <w:rsid w:val="00EC4F5F"/>
    <w:rsid w:val="00EC79A4"/>
    <w:rsid w:val="00ED1745"/>
    <w:rsid w:val="00EE2B56"/>
    <w:rsid w:val="00EE38F5"/>
    <w:rsid w:val="00EF10C3"/>
    <w:rsid w:val="00EF355E"/>
    <w:rsid w:val="00EF7B37"/>
    <w:rsid w:val="00F043B4"/>
    <w:rsid w:val="00F12ADE"/>
    <w:rsid w:val="00F21512"/>
    <w:rsid w:val="00F25065"/>
    <w:rsid w:val="00F50F48"/>
    <w:rsid w:val="00F54D73"/>
    <w:rsid w:val="00F90DE0"/>
    <w:rsid w:val="00F95BB5"/>
    <w:rsid w:val="00FA0CB4"/>
    <w:rsid w:val="00FB0A06"/>
    <w:rsid w:val="00FB2933"/>
    <w:rsid w:val="00FB3295"/>
    <w:rsid w:val="00FB795F"/>
    <w:rsid w:val="00FC1F27"/>
    <w:rsid w:val="00FD35DF"/>
    <w:rsid w:val="00FD4A16"/>
    <w:rsid w:val="00FF6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671A56"/>
  <w15:docId w15:val="{CE5EFBC4-D1ED-42AE-826C-712480EA6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2F67"/>
    <w:rPr>
      <w:sz w:val="24"/>
      <w:szCs w:val="24"/>
    </w:rPr>
  </w:style>
  <w:style w:type="paragraph" w:styleId="Titre1">
    <w:name w:val="heading 1"/>
    <w:basedOn w:val="Normal"/>
    <w:next w:val="Normal"/>
    <w:qFormat/>
    <w:rsid w:val="00045642"/>
    <w:pPr>
      <w:keepNext/>
      <w:numPr>
        <w:numId w:val="1"/>
      </w:numPr>
      <w:shd w:val="clear" w:color="auto" w:fill="8DB3E2" w:themeFill="text2" w:themeFillTint="66"/>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unhideWhenUsed/>
    <w:qFormat/>
    <w:rsid w:val="00BB118B"/>
    <w:pPr>
      <w:keepNext/>
      <w:keepLines/>
      <w:numPr>
        <w:ilvl w:val="1"/>
        <w:numId w:val="1"/>
      </w:numPr>
      <w:shd w:val="clear" w:color="auto" w:fill="E5B8B7" w:themeFill="accent2" w:themeFillTint="66"/>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nhideWhenUsed/>
    <w:qFormat/>
    <w:rsid w:val="00D35717"/>
    <w:pPr>
      <w:keepNext/>
      <w:keepLines/>
      <w:numPr>
        <w:ilvl w:val="2"/>
        <w:numId w:val="1"/>
      </w:numPr>
      <w:shd w:val="clear" w:color="auto" w:fill="D6E3BC" w:themeFill="accent3" w:themeFillTint="66"/>
      <w:spacing w:before="200"/>
      <w:outlineLvl w:val="2"/>
    </w:pPr>
    <w:rPr>
      <w:rFonts w:asciiTheme="majorHAnsi" w:eastAsiaTheme="majorEastAsia" w:hAnsiTheme="majorHAnsi" w:cstheme="majorBidi"/>
      <w:b/>
      <w:bCs/>
    </w:rPr>
  </w:style>
  <w:style w:type="paragraph" w:styleId="Titre4">
    <w:name w:val="heading 4"/>
    <w:basedOn w:val="Normal"/>
    <w:next w:val="Normal"/>
    <w:link w:val="Titre4Car"/>
    <w:semiHidden/>
    <w:unhideWhenUsed/>
    <w:qFormat/>
    <w:rsid w:val="004711A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rsid w:val="00BB118B"/>
    <w:rPr>
      <w:rFonts w:asciiTheme="majorHAnsi" w:eastAsiaTheme="majorEastAsia" w:hAnsiTheme="majorHAnsi" w:cstheme="majorBidi"/>
      <w:b/>
      <w:bCs/>
      <w:sz w:val="26"/>
      <w:szCs w:val="26"/>
      <w:shd w:val="clear" w:color="auto" w:fill="E5B8B7" w:themeFill="accent2" w:themeFillTint="66"/>
    </w:rPr>
  </w:style>
  <w:style w:type="paragraph" w:styleId="En-tte">
    <w:name w:val="header"/>
    <w:basedOn w:val="Normal"/>
    <w:link w:val="En-tteCar"/>
    <w:uiPriority w:val="99"/>
    <w:rsid w:val="006C6D55"/>
    <w:pPr>
      <w:tabs>
        <w:tab w:val="center" w:pos="4536"/>
        <w:tab w:val="right" w:pos="9072"/>
      </w:tabs>
    </w:pPr>
  </w:style>
  <w:style w:type="character" w:customStyle="1" w:styleId="En-tteCar">
    <w:name w:val="En-tête Car"/>
    <w:basedOn w:val="Policepardfaut"/>
    <w:link w:val="En-tte"/>
    <w:uiPriority w:val="99"/>
    <w:rsid w:val="006C6D55"/>
    <w:rPr>
      <w:sz w:val="24"/>
      <w:szCs w:val="24"/>
    </w:rPr>
  </w:style>
  <w:style w:type="paragraph" w:styleId="Pieddepage">
    <w:name w:val="footer"/>
    <w:basedOn w:val="Normal"/>
    <w:link w:val="PieddepageCar"/>
    <w:uiPriority w:val="99"/>
    <w:rsid w:val="006C6D55"/>
    <w:pPr>
      <w:tabs>
        <w:tab w:val="center" w:pos="4536"/>
        <w:tab w:val="right" w:pos="9072"/>
      </w:tabs>
    </w:pPr>
  </w:style>
  <w:style w:type="character" w:customStyle="1" w:styleId="PieddepageCar">
    <w:name w:val="Pied de page Car"/>
    <w:basedOn w:val="Policepardfaut"/>
    <w:link w:val="Pieddepage"/>
    <w:uiPriority w:val="99"/>
    <w:rsid w:val="006C6D55"/>
    <w:rPr>
      <w:sz w:val="24"/>
      <w:szCs w:val="24"/>
    </w:rPr>
  </w:style>
  <w:style w:type="paragraph" w:styleId="Textedebulles">
    <w:name w:val="Balloon Text"/>
    <w:basedOn w:val="Normal"/>
    <w:link w:val="TextedebullesCar"/>
    <w:rsid w:val="006C6D55"/>
    <w:rPr>
      <w:rFonts w:ascii="Tahoma" w:hAnsi="Tahoma" w:cs="Tahoma"/>
      <w:sz w:val="16"/>
      <w:szCs w:val="16"/>
    </w:rPr>
  </w:style>
  <w:style w:type="character" w:customStyle="1" w:styleId="TextedebullesCar">
    <w:name w:val="Texte de bulles Car"/>
    <w:basedOn w:val="Policepardfaut"/>
    <w:link w:val="Textedebulles"/>
    <w:rsid w:val="006C6D55"/>
    <w:rPr>
      <w:rFonts w:ascii="Tahoma" w:hAnsi="Tahoma" w:cs="Tahoma"/>
      <w:sz w:val="16"/>
      <w:szCs w:val="16"/>
    </w:rPr>
  </w:style>
  <w:style w:type="paragraph" w:styleId="Notedebasdepage">
    <w:name w:val="footnote text"/>
    <w:basedOn w:val="Normal"/>
    <w:link w:val="NotedebasdepageCar"/>
    <w:rsid w:val="00987FAD"/>
    <w:rPr>
      <w:sz w:val="20"/>
      <w:szCs w:val="20"/>
    </w:rPr>
  </w:style>
  <w:style w:type="character" w:customStyle="1" w:styleId="NotedebasdepageCar">
    <w:name w:val="Note de bas de page Car"/>
    <w:basedOn w:val="Policepardfaut"/>
    <w:link w:val="Notedebasdepage"/>
    <w:rsid w:val="00987FAD"/>
  </w:style>
  <w:style w:type="paragraph" w:styleId="Commentaire">
    <w:name w:val="annotation text"/>
    <w:basedOn w:val="Normal"/>
    <w:link w:val="CommentaireCar"/>
    <w:uiPriority w:val="99"/>
    <w:rsid w:val="00987FAD"/>
    <w:rPr>
      <w:sz w:val="20"/>
      <w:szCs w:val="20"/>
    </w:rPr>
  </w:style>
  <w:style w:type="character" w:customStyle="1" w:styleId="CommentaireCar">
    <w:name w:val="Commentaire Car"/>
    <w:basedOn w:val="Policepardfaut"/>
    <w:link w:val="Commentaire"/>
    <w:uiPriority w:val="99"/>
    <w:rsid w:val="00987FAD"/>
  </w:style>
  <w:style w:type="character" w:styleId="Appelnotedebasdep">
    <w:name w:val="footnote reference"/>
    <w:rsid w:val="00987FAD"/>
    <w:rPr>
      <w:vertAlign w:val="superscript"/>
    </w:rPr>
  </w:style>
  <w:style w:type="character" w:styleId="Marquedecommentaire">
    <w:name w:val="annotation reference"/>
    <w:uiPriority w:val="99"/>
    <w:rsid w:val="00987FAD"/>
    <w:rPr>
      <w:sz w:val="16"/>
      <w:szCs w:val="16"/>
    </w:rPr>
  </w:style>
  <w:style w:type="paragraph" w:styleId="Objetducommentaire">
    <w:name w:val="annotation subject"/>
    <w:basedOn w:val="Commentaire"/>
    <w:next w:val="Commentaire"/>
    <w:link w:val="ObjetducommentaireCar"/>
    <w:rsid w:val="007C2F67"/>
    <w:rPr>
      <w:b/>
      <w:bCs/>
    </w:rPr>
  </w:style>
  <w:style w:type="character" w:customStyle="1" w:styleId="ObjetducommentaireCar">
    <w:name w:val="Objet du commentaire Car"/>
    <w:basedOn w:val="CommentaireCar"/>
    <w:link w:val="Objetducommentaire"/>
    <w:rsid w:val="007C2F67"/>
    <w:rPr>
      <w:b/>
      <w:bCs/>
    </w:rPr>
  </w:style>
  <w:style w:type="paragraph" w:styleId="Sansinterligne">
    <w:name w:val="No Spacing"/>
    <w:uiPriority w:val="99"/>
    <w:qFormat/>
    <w:rsid w:val="0073004C"/>
    <w:rPr>
      <w:rFonts w:ascii="Calibri" w:eastAsia="Calibri" w:hAnsi="Calibri"/>
      <w:sz w:val="22"/>
      <w:szCs w:val="22"/>
      <w:lang w:eastAsia="en-US"/>
    </w:rPr>
  </w:style>
  <w:style w:type="character" w:styleId="Lienhypertexte">
    <w:name w:val="Hyperlink"/>
    <w:basedOn w:val="Policepardfaut"/>
    <w:uiPriority w:val="99"/>
    <w:rsid w:val="0073004C"/>
    <w:rPr>
      <w:rFonts w:cs="Times New Roman"/>
      <w:color w:val="0000FF"/>
      <w:u w:val="single"/>
    </w:rPr>
  </w:style>
  <w:style w:type="paragraph" w:styleId="En-ttedetabledesmatires">
    <w:name w:val="TOC Heading"/>
    <w:basedOn w:val="Titre1"/>
    <w:next w:val="Normal"/>
    <w:uiPriority w:val="39"/>
    <w:semiHidden/>
    <w:unhideWhenUsed/>
    <w:qFormat/>
    <w:rsid w:val="0073004C"/>
    <w:pPr>
      <w:keepLines/>
      <w:shd w:val="clear" w:color="auto" w:fill="auto"/>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rsid w:val="0073004C"/>
    <w:pPr>
      <w:spacing w:after="100"/>
    </w:pPr>
  </w:style>
  <w:style w:type="character" w:customStyle="1" w:styleId="Titre3Car">
    <w:name w:val="Titre 3 Car"/>
    <w:basedOn w:val="Policepardfaut"/>
    <w:link w:val="Titre3"/>
    <w:rsid w:val="00D35717"/>
    <w:rPr>
      <w:rFonts w:asciiTheme="majorHAnsi" w:eastAsiaTheme="majorEastAsia" w:hAnsiTheme="majorHAnsi" w:cstheme="majorBidi"/>
      <w:b/>
      <w:bCs/>
      <w:sz w:val="24"/>
      <w:szCs w:val="24"/>
      <w:shd w:val="clear" w:color="auto" w:fill="D6E3BC" w:themeFill="accent3" w:themeFillTint="66"/>
    </w:rPr>
  </w:style>
  <w:style w:type="paragraph" w:styleId="Paragraphedeliste">
    <w:name w:val="List Paragraph"/>
    <w:aliases w:val="Paragraphe de liste - Notes techniques,Bullets,List Paragraph1,Paragraphe de liste1,Numbered paragraph,List Paragraph2,Medium Grid 1 - Accent 21,lp1,References,Paragraphe  revu,List Bullet Mary,Title Style 1,Numbered List Paragraph,E"/>
    <w:basedOn w:val="Normal"/>
    <w:link w:val="ParagraphedelisteCar"/>
    <w:uiPriority w:val="34"/>
    <w:qFormat/>
    <w:rsid w:val="00BB118B"/>
    <w:pPr>
      <w:spacing w:after="60" w:line="276" w:lineRule="auto"/>
      <w:ind w:left="720"/>
      <w:contextualSpacing/>
      <w:jc w:val="both"/>
    </w:pPr>
    <w:rPr>
      <w:rFonts w:ascii="Calibri" w:eastAsia="Calibri" w:hAnsi="Calibri"/>
      <w:sz w:val="22"/>
      <w:szCs w:val="22"/>
      <w:lang w:eastAsia="en-US"/>
    </w:rPr>
  </w:style>
  <w:style w:type="paragraph" w:styleId="Corpsdetexte">
    <w:name w:val="Body Text"/>
    <w:aliases w:val="Body Text1,Body Text2,Body Text11,Body Text3,Body Text4,body text,Body,contents,bt,body tesx,Texto independiente,body,Viñeta,heading_txt,bodytxy2,Body Text - Level 2"/>
    <w:basedOn w:val="Normal"/>
    <w:link w:val="CorpsdetexteCar"/>
    <w:uiPriority w:val="99"/>
    <w:rsid w:val="00BB118B"/>
    <w:pPr>
      <w:jc w:val="both"/>
    </w:pPr>
    <w:rPr>
      <w:rFonts w:eastAsia="Calibri"/>
      <w:sz w:val="22"/>
      <w:szCs w:val="22"/>
    </w:rPr>
  </w:style>
  <w:style w:type="character" w:customStyle="1" w:styleId="CorpsdetexteCar">
    <w:name w:val="Corps de texte Car"/>
    <w:aliases w:val="Body Text1 Car,Body Text2 Car,Body Text11 Car,Body Text3 Car,Body Text4 Car,body text Car,Body Car,contents Car,bt Car,body tesx Car,Texto independiente Car,body Car,Viñeta Car,heading_txt Car,bodytxy2 Car,Body Text - Level 2 Car"/>
    <w:basedOn w:val="Policepardfaut"/>
    <w:link w:val="Corpsdetexte"/>
    <w:uiPriority w:val="99"/>
    <w:rsid w:val="00BB118B"/>
    <w:rPr>
      <w:rFonts w:eastAsia="Calibri"/>
      <w:sz w:val="22"/>
      <w:szCs w:val="22"/>
    </w:rPr>
  </w:style>
  <w:style w:type="paragraph" w:styleId="TM3">
    <w:name w:val="toc 3"/>
    <w:basedOn w:val="Normal"/>
    <w:next w:val="Normal"/>
    <w:autoRedefine/>
    <w:uiPriority w:val="39"/>
    <w:rsid w:val="00DD7056"/>
    <w:pPr>
      <w:spacing w:after="100"/>
      <w:ind w:left="480"/>
    </w:pPr>
  </w:style>
  <w:style w:type="paragraph" w:styleId="TM2">
    <w:name w:val="toc 2"/>
    <w:basedOn w:val="Normal"/>
    <w:next w:val="Normal"/>
    <w:autoRedefine/>
    <w:uiPriority w:val="39"/>
    <w:rsid w:val="00DD7056"/>
    <w:pPr>
      <w:spacing w:after="100"/>
      <w:ind w:left="240"/>
    </w:pPr>
  </w:style>
  <w:style w:type="paragraph" w:customStyle="1" w:styleId="TITRE10">
    <w:name w:val="TITRE1"/>
    <w:basedOn w:val="Normal"/>
    <w:rsid w:val="002B7927"/>
    <w:pPr>
      <w:jc w:val="both"/>
    </w:pPr>
    <w:rPr>
      <w:rFonts w:ascii="Univers" w:hAnsi="Univers"/>
      <w:b/>
      <w:bCs/>
      <w:sz w:val="28"/>
      <w:szCs w:val="28"/>
      <w:lang w:eastAsia="en-US"/>
    </w:rPr>
  </w:style>
  <w:style w:type="paragraph" w:customStyle="1" w:styleId="1Car">
    <w:name w:val="1 Car"/>
    <w:basedOn w:val="Normal"/>
    <w:rsid w:val="002B7927"/>
    <w:pPr>
      <w:spacing w:after="160" w:line="240" w:lineRule="exact"/>
      <w:jc w:val="both"/>
    </w:pPr>
    <w:rPr>
      <w:rFonts w:ascii="Tahoma" w:hAnsi="Tahoma"/>
      <w:color w:val="000000"/>
      <w:sz w:val="20"/>
      <w:szCs w:val="20"/>
      <w:lang w:val="en-US" w:eastAsia="en-US"/>
    </w:rPr>
  </w:style>
  <w:style w:type="paragraph" w:styleId="Liste">
    <w:name w:val="List"/>
    <w:basedOn w:val="Normal"/>
    <w:rsid w:val="00114DA1"/>
    <w:pPr>
      <w:ind w:left="283" w:hanging="283"/>
    </w:pPr>
    <w:rPr>
      <w:sz w:val="20"/>
      <w:szCs w:val="20"/>
      <w:lang w:eastAsia="en-US"/>
    </w:rPr>
  </w:style>
  <w:style w:type="paragraph" w:styleId="NormalWeb">
    <w:name w:val="Normal (Web)"/>
    <w:basedOn w:val="Normal"/>
    <w:uiPriority w:val="99"/>
    <w:unhideWhenUsed/>
    <w:rsid w:val="00F21512"/>
    <w:pPr>
      <w:spacing w:before="100" w:beforeAutospacing="1" w:after="100" w:afterAutospacing="1"/>
    </w:pPr>
  </w:style>
  <w:style w:type="character" w:customStyle="1" w:styleId="texttaille12">
    <w:name w:val="text_taille_12"/>
    <w:basedOn w:val="Policepardfaut"/>
    <w:rsid w:val="00F21512"/>
  </w:style>
  <w:style w:type="character" w:styleId="lev">
    <w:name w:val="Strong"/>
    <w:basedOn w:val="Policepardfaut"/>
    <w:uiPriority w:val="22"/>
    <w:qFormat/>
    <w:rsid w:val="00F21512"/>
    <w:rPr>
      <w:b/>
      <w:bCs/>
    </w:rPr>
  </w:style>
  <w:style w:type="character" w:customStyle="1" w:styleId="mainsitecolor">
    <w:name w:val="main_site_color"/>
    <w:basedOn w:val="Policepardfaut"/>
    <w:rsid w:val="00F21512"/>
  </w:style>
  <w:style w:type="paragraph" w:styleId="Rvision">
    <w:name w:val="Revision"/>
    <w:hidden/>
    <w:uiPriority w:val="99"/>
    <w:semiHidden/>
    <w:rsid w:val="006371D4"/>
    <w:rPr>
      <w:sz w:val="24"/>
      <w:szCs w:val="24"/>
    </w:rPr>
  </w:style>
  <w:style w:type="numbering" w:customStyle="1" w:styleId="StyleAvecpuces">
    <w:name w:val="Style Avec puces"/>
    <w:basedOn w:val="Aucuneliste"/>
    <w:rsid w:val="00A464AB"/>
    <w:pPr>
      <w:numPr>
        <w:numId w:val="2"/>
      </w:numPr>
    </w:pPr>
  </w:style>
  <w:style w:type="character" w:customStyle="1" w:styleId="ParagraphedelisteCar">
    <w:name w:val="Paragraphe de liste Car"/>
    <w:aliases w:val="Paragraphe de liste - Notes techniques Car,Bullets Car,List Paragraph1 Car,Paragraphe de liste1 Car,Numbered paragraph Car,List Paragraph2 Car,Medium Grid 1 - Accent 21 Car,lp1 Car,References Car,Paragraphe  revu Car,E Car"/>
    <w:link w:val="Paragraphedeliste"/>
    <w:uiPriority w:val="34"/>
    <w:qFormat/>
    <w:rsid w:val="0022577C"/>
    <w:rPr>
      <w:rFonts w:ascii="Calibri" w:eastAsia="Calibri" w:hAnsi="Calibri"/>
      <w:sz w:val="22"/>
      <w:szCs w:val="22"/>
      <w:lang w:eastAsia="en-US"/>
    </w:rPr>
  </w:style>
  <w:style w:type="table" w:styleId="Grilledutableau">
    <w:name w:val="Table Grid"/>
    <w:basedOn w:val="TableauNormal"/>
    <w:rsid w:val="00265B4E"/>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semiHidden/>
    <w:rsid w:val="004711A5"/>
    <w:rPr>
      <w:rFonts w:asciiTheme="majorHAnsi" w:eastAsiaTheme="majorEastAsia" w:hAnsiTheme="majorHAnsi" w:cstheme="majorBidi"/>
      <w:i/>
      <w:iCs/>
      <w:color w:val="365F91" w:themeColor="accent1" w:themeShade="BF"/>
      <w:sz w:val="24"/>
      <w:szCs w:val="24"/>
    </w:rPr>
  </w:style>
  <w:style w:type="character" w:styleId="Mentionnonrsolue">
    <w:name w:val="Unresolved Mention"/>
    <w:basedOn w:val="Policepardfaut"/>
    <w:uiPriority w:val="99"/>
    <w:semiHidden/>
    <w:unhideWhenUsed/>
    <w:rsid w:val="00D820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7776">
      <w:bodyDiv w:val="1"/>
      <w:marLeft w:val="0"/>
      <w:marRight w:val="0"/>
      <w:marTop w:val="0"/>
      <w:marBottom w:val="0"/>
      <w:divBdr>
        <w:top w:val="none" w:sz="0" w:space="0" w:color="auto"/>
        <w:left w:val="none" w:sz="0" w:space="0" w:color="auto"/>
        <w:bottom w:val="none" w:sz="0" w:space="0" w:color="auto"/>
        <w:right w:val="none" w:sz="0" w:space="0" w:color="auto"/>
      </w:divBdr>
    </w:div>
    <w:div w:id="145055280">
      <w:bodyDiv w:val="1"/>
      <w:marLeft w:val="0"/>
      <w:marRight w:val="0"/>
      <w:marTop w:val="0"/>
      <w:marBottom w:val="0"/>
      <w:divBdr>
        <w:top w:val="none" w:sz="0" w:space="0" w:color="auto"/>
        <w:left w:val="none" w:sz="0" w:space="0" w:color="auto"/>
        <w:bottom w:val="none" w:sz="0" w:space="0" w:color="auto"/>
        <w:right w:val="none" w:sz="0" w:space="0" w:color="auto"/>
      </w:divBdr>
    </w:div>
    <w:div w:id="177895244">
      <w:bodyDiv w:val="1"/>
      <w:marLeft w:val="0"/>
      <w:marRight w:val="0"/>
      <w:marTop w:val="0"/>
      <w:marBottom w:val="0"/>
      <w:divBdr>
        <w:top w:val="none" w:sz="0" w:space="0" w:color="auto"/>
        <w:left w:val="none" w:sz="0" w:space="0" w:color="auto"/>
        <w:bottom w:val="none" w:sz="0" w:space="0" w:color="auto"/>
        <w:right w:val="none" w:sz="0" w:space="0" w:color="auto"/>
      </w:divBdr>
    </w:div>
    <w:div w:id="188757927">
      <w:bodyDiv w:val="1"/>
      <w:marLeft w:val="0"/>
      <w:marRight w:val="0"/>
      <w:marTop w:val="0"/>
      <w:marBottom w:val="0"/>
      <w:divBdr>
        <w:top w:val="none" w:sz="0" w:space="0" w:color="auto"/>
        <w:left w:val="none" w:sz="0" w:space="0" w:color="auto"/>
        <w:bottom w:val="none" w:sz="0" w:space="0" w:color="auto"/>
        <w:right w:val="none" w:sz="0" w:space="0" w:color="auto"/>
      </w:divBdr>
    </w:div>
    <w:div w:id="234975325">
      <w:bodyDiv w:val="1"/>
      <w:marLeft w:val="0"/>
      <w:marRight w:val="0"/>
      <w:marTop w:val="0"/>
      <w:marBottom w:val="0"/>
      <w:divBdr>
        <w:top w:val="none" w:sz="0" w:space="0" w:color="auto"/>
        <w:left w:val="none" w:sz="0" w:space="0" w:color="auto"/>
        <w:bottom w:val="none" w:sz="0" w:space="0" w:color="auto"/>
        <w:right w:val="none" w:sz="0" w:space="0" w:color="auto"/>
      </w:divBdr>
    </w:div>
    <w:div w:id="583954495">
      <w:bodyDiv w:val="1"/>
      <w:marLeft w:val="0"/>
      <w:marRight w:val="0"/>
      <w:marTop w:val="0"/>
      <w:marBottom w:val="0"/>
      <w:divBdr>
        <w:top w:val="none" w:sz="0" w:space="0" w:color="auto"/>
        <w:left w:val="none" w:sz="0" w:space="0" w:color="auto"/>
        <w:bottom w:val="none" w:sz="0" w:space="0" w:color="auto"/>
        <w:right w:val="none" w:sz="0" w:space="0" w:color="auto"/>
      </w:divBdr>
    </w:div>
    <w:div w:id="623075436">
      <w:bodyDiv w:val="1"/>
      <w:marLeft w:val="0"/>
      <w:marRight w:val="0"/>
      <w:marTop w:val="0"/>
      <w:marBottom w:val="0"/>
      <w:divBdr>
        <w:top w:val="none" w:sz="0" w:space="0" w:color="auto"/>
        <w:left w:val="none" w:sz="0" w:space="0" w:color="auto"/>
        <w:bottom w:val="none" w:sz="0" w:space="0" w:color="auto"/>
        <w:right w:val="none" w:sz="0" w:space="0" w:color="auto"/>
      </w:divBdr>
    </w:div>
    <w:div w:id="739014006">
      <w:bodyDiv w:val="1"/>
      <w:marLeft w:val="0"/>
      <w:marRight w:val="0"/>
      <w:marTop w:val="0"/>
      <w:marBottom w:val="0"/>
      <w:divBdr>
        <w:top w:val="none" w:sz="0" w:space="0" w:color="auto"/>
        <w:left w:val="none" w:sz="0" w:space="0" w:color="auto"/>
        <w:bottom w:val="none" w:sz="0" w:space="0" w:color="auto"/>
        <w:right w:val="none" w:sz="0" w:space="0" w:color="auto"/>
      </w:divBdr>
    </w:div>
    <w:div w:id="881401283">
      <w:bodyDiv w:val="1"/>
      <w:marLeft w:val="0"/>
      <w:marRight w:val="0"/>
      <w:marTop w:val="0"/>
      <w:marBottom w:val="0"/>
      <w:divBdr>
        <w:top w:val="none" w:sz="0" w:space="0" w:color="auto"/>
        <w:left w:val="none" w:sz="0" w:space="0" w:color="auto"/>
        <w:bottom w:val="none" w:sz="0" w:space="0" w:color="auto"/>
        <w:right w:val="none" w:sz="0" w:space="0" w:color="auto"/>
      </w:divBdr>
    </w:div>
    <w:div w:id="963269379">
      <w:bodyDiv w:val="1"/>
      <w:marLeft w:val="0"/>
      <w:marRight w:val="0"/>
      <w:marTop w:val="0"/>
      <w:marBottom w:val="0"/>
      <w:divBdr>
        <w:top w:val="none" w:sz="0" w:space="0" w:color="auto"/>
        <w:left w:val="none" w:sz="0" w:space="0" w:color="auto"/>
        <w:bottom w:val="none" w:sz="0" w:space="0" w:color="auto"/>
        <w:right w:val="none" w:sz="0" w:space="0" w:color="auto"/>
      </w:divBdr>
    </w:div>
    <w:div w:id="1044788783">
      <w:bodyDiv w:val="1"/>
      <w:marLeft w:val="0"/>
      <w:marRight w:val="0"/>
      <w:marTop w:val="0"/>
      <w:marBottom w:val="0"/>
      <w:divBdr>
        <w:top w:val="none" w:sz="0" w:space="0" w:color="auto"/>
        <w:left w:val="none" w:sz="0" w:space="0" w:color="auto"/>
        <w:bottom w:val="none" w:sz="0" w:space="0" w:color="auto"/>
        <w:right w:val="none" w:sz="0" w:space="0" w:color="auto"/>
      </w:divBdr>
    </w:div>
    <w:div w:id="1066034377">
      <w:bodyDiv w:val="1"/>
      <w:marLeft w:val="0"/>
      <w:marRight w:val="0"/>
      <w:marTop w:val="0"/>
      <w:marBottom w:val="0"/>
      <w:divBdr>
        <w:top w:val="none" w:sz="0" w:space="0" w:color="auto"/>
        <w:left w:val="none" w:sz="0" w:space="0" w:color="auto"/>
        <w:bottom w:val="none" w:sz="0" w:space="0" w:color="auto"/>
        <w:right w:val="none" w:sz="0" w:space="0" w:color="auto"/>
      </w:divBdr>
    </w:div>
    <w:div w:id="1253852742">
      <w:bodyDiv w:val="1"/>
      <w:marLeft w:val="0"/>
      <w:marRight w:val="0"/>
      <w:marTop w:val="0"/>
      <w:marBottom w:val="0"/>
      <w:divBdr>
        <w:top w:val="none" w:sz="0" w:space="0" w:color="auto"/>
        <w:left w:val="none" w:sz="0" w:space="0" w:color="auto"/>
        <w:bottom w:val="none" w:sz="0" w:space="0" w:color="auto"/>
        <w:right w:val="none" w:sz="0" w:space="0" w:color="auto"/>
      </w:divBdr>
      <w:divsChild>
        <w:div w:id="785199319">
          <w:marLeft w:val="0"/>
          <w:marRight w:val="0"/>
          <w:marTop w:val="0"/>
          <w:marBottom w:val="0"/>
          <w:divBdr>
            <w:top w:val="none" w:sz="0" w:space="0" w:color="auto"/>
            <w:left w:val="none" w:sz="0" w:space="0" w:color="auto"/>
            <w:bottom w:val="none" w:sz="0" w:space="0" w:color="auto"/>
            <w:right w:val="none" w:sz="0" w:space="0" w:color="auto"/>
          </w:divBdr>
        </w:div>
      </w:divsChild>
    </w:div>
    <w:div w:id="1322778738">
      <w:bodyDiv w:val="1"/>
      <w:marLeft w:val="0"/>
      <w:marRight w:val="0"/>
      <w:marTop w:val="0"/>
      <w:marBottom w:val="0"/>
      <w:divBdr>
        <w:top w:val="none" w:sz="0" w:space="0" w:color="auto"/>
        <w:left w:val="none" w:sz="0" w:space="0" w:color="auto"/>
        <w:bottom w:val="none" w:sz="0" w:space="0" w:color="auto"/>
        <w:right w:val="none" w:sz="0" w:space="0" w:color="auto"/>
      </w:divBdr>
    </w:div>
    <w:div w:id="1390227075">
      <w:bodyDiv w:val="1"/>
      <w:marLeft w:val="0"/>
      <w:marRight w:val="0"/>
      <w:marTop w:val="0"/>
      <w:marBottom w:val="0"/>
      <w:divBdr>
        <w:top w:val="none" w:sz="0" w:space="0" w:color="auto"/>
        <w:left w:val="none" w:sz="0" w:space="0" w:color="auto"/>
        <w:bottom w:val="none" w:sz="0" w:space="0" w:color="auto"/>
        <w:right w:val="none" w:sz="0" w:space="0" w:color="auto"/>
      </w:divBdr>
    </w:div>
    <w:div w:id="1424569509">
      <w:bodyDiv w:val="1"/>
      <w:marLeft w:val="0"/>
      <w:marRight w:val="0"/>
      <w:marTop w:val="0"/>
      <w:marBottom w:val="0"/>
      <w:divBdr>
        <w:top w:val="none" w:sz="0" w:space="0" w:color="auto"/>
        <w:left w:val="none" w:sz="0" w:space="0" w:color="auto"/>
        <w:bottom w:val="none" w:sz="0" w:space="0" w:color="auto"/>
        <w:right w:val="none" w:sz="0" w:space="0" w:color="auto"/>
      </w:divBdr>
    </w:div>
    <w:div w:id="1425028718">
      <w:bodyDiv w:val="1"/>
      <w:marLeft w:val="0"/>
      <w:marRight w:val="0"/>
      <w:marTop w:val="0"/>
      <w:marBottom w:val="0"/>
      <w:divBdr>
        <w:top w:val="none" w:sz="0" w:space="0" w:color="auto"/>
        <w:left w:val="none" w:sz="0" w:space="0" w:color="auto"/>
        <w:bottom w:val="none" w:sz="0" w:space="0" w:color="auto"/>
        <w:right w:val="none" w:sz="0" w:space="0" w:color="auto"/>
      </w:divBdr>
    </w:div>
    <w:div w:id="1487865900">
      <w:bodyDiv w:val="1"/>
      <w:marLeft w:val="0"/>
      <w:marRight w:val="0"/>
      <w:marTop w:val="0"/>
      <w:marBottom w:val="0"/>
      <w:divBdr>
        <w:top w:val="none" w:sz="0" w:space="0" w:color="auto"/>
        <w:left w:val="none" w:sz="0" w:space="0" w:color="auto"/>
        <w:bottom w:val="none" w:sz="0" w:space="0" w:color="auto"/>
        <w:right w:val="none" w:sz="0" w:space="0" w:color="auto"/>
      </w:divBdr>
    </w:div>
    <w:div w:id="1980840130">
      <w:bodyDiv w:val="1"/>
      <w:marLeft w:val="0"/>
      <w:marRight w:val="0"/>
      <w:marTop w:val="0"/>
      <w:marBottom w:val="0"/>
      <w:divBdr>
        <w:top w:val="none" w:sz="0" w:space="0" w:color="auto"/>
        <w:left w:val="none" w:sz="0" w:space="0" w:color="auto"/>
        <w:bottom w:val="none" w:sz="0" w:space="0" w:color="auto"/>
        <w:right w:val="none" w:sz="0" w:space="0" w:color="auto"/>
      </w:divBdr>
    </w:div>
    <w:div w:id="19970338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utalikanwan@afd.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risellea@afd.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hesnaisjc@afd.fr" TargetMode="External"/><Relationship Id="rId4" Type="http://schemas.openxmlformats.org/officeDocument/2006/relationships/settings" Target="settings.xml"/><Relationship Id="rId9" Type="http://schemas.openxmlformats.org/officeDocument/2006/relationships/hyperlink" Target="mailto:pascale@afd.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08E74-01F5-4A36-84FB-DA360F35F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3061</Words>
  <Characters>16839</Characters>
  <Application>Microsoft Office Word</Application>
  <DocSecurity>0</DocSecurity>
  <Lines>140</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AFD</dc:creator>
  <cp:lastModifiedBy>PASCAL Emilie</cp:lastModifiedBy>
  <cp:revision>2</cp:revision>
  <cp:lastPrinted>2025-05-20T11:41:00Z</cp:lastPrinted>
  <dcterms:created xsi:type="dcterms:W3CDTF">2025-08-20T09:07:00Z</dcterms:created>
  <dcterms:modified xsi:type="dcterms:W3CDTF">2025-08-20T09:07:00Z</dcterms:modified>
</cp:coreProperties>
</file>